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JI14.047310 vom 11. Juli 2017</w:t>
      </w:r>
    </w:p>
    <w:p>
      <w:r>
        <w:t>VD Tribunal cantonal, 2017-07-11, FR</w:t>
      </w:r>
    </w:p>
    <w:p>
      <w:r>
        <w:rPr>
          <w:b/>
        </w:rPr>
        <w:t xml:space="preserve">Quelle: </w:t>
      </w:r>
      <w:r>
        <w:t>https://mcp.opencaselaw.ch/entscheid/vd_gerichte_JI14.047310</w:t>
      </w:r>
    </w:p>
    <w:p>
      <w:r>
        <w:t>FR: VD_GERICHTE JI14.047310 du 11 juillet 2017</w:t>
      </w:r>
    </w:p>
    <w:p>
      <w:r>
        <w:t>IT: VD_GERICHTE JI14.047310 del 11 luglio 2017</w:t>
      </w:r>
    </w:p>
    <w:p>
      <w:pPr>
        <w:pStyle w:val="Heading2"/>
      </w:pPr>
      <w:r>
        <w:t>Erwägungen</w:t>
      </w:r>
    </w:p>
    <w:p>
      <w:r>
        <w:rPr>
          <w:b/>
        </w:rPr>
        <w:t>E. 6</w:t>
      </w:r>
    </w:p>
    <w:p>
      <w:r>
        <w:t>Le 21 mai 2014, le Ministère public a rendu une ordonnance de suspension de l’instruction pénale ouverte sur plainte des demandeurs, au motif qu’aucun matériel génétique appartenant à des tiers n’avait été décelé sur les parties plaignantes. En outre, les lieux n’avaient pas été fixés et aucune trace n’y avait été relevée. Par ailleurs, plusieurs membres de la discothèque avaient déclaré que les plaignants devaient être retournés dans l’établissement après la fermeture de celui-ci. En l’état, il n’existait donc aucun élément permettant d’orienter les investigations.</w:t>
      </w:r>
    </w:p>
    <w:p>
      <w:r>
        <w:t>- 10 -</w:t>
      </w:r>
    </w:p>
    <w:p>
      <w:r>
        <w:rPr>
          <w:b/>
        </w:rPr>
        <w:t>E. 7</w:t>
      </w:r>
    </w:p>
    <w:p>
      <w:r>
        <w:t>Le 13 novembre 2014, au bénéfice d’une autorisation de procéder, les demandeurs, invoquant des manquements lors de l’intervention policière à tel point qu’il n’avait plus été possible de reconstituer ce qui s’était passé, et s’estimant de ce fait atteints dans leurs personnalités respectives, ont ouvert action en responsabilité contre le défendeur, en concluant, avec suite de frais et dépens, à l’allocation d’un tort moral de 7'500 fr. pour chacun d’eux, avec intérêt à 5% l’an dès le 1er juillet 2012. Les 15 mai et 30 juin 2015, les parties ont déposé respectivement une réplique et une duplique.</w:t>
      </w:r>
    </w:p>
    <w:p>
      <w:r>
        <w:rPr>
          <w:b/>
        </w:rPr>
        <w:t>E. 8</w:t>
      </w:r>
    </w:p>
    <w:p>
      <w:r>
        <w:t>Par courrier du 3 mars 2015 adressé au Chef de la Police de sûreté, l’inspecteur [...] a indiqué que les prélèvements de sang avaient été « mis en attente et n’[avaient] à ce jour pas fait l’objet d’une analyse au [...] » et que les examens du caleçon appartenant à M.________ et de la paire de chaussures de C.________ – que l’inspecteur [...] lui avait fait parvenir – étaient « restés négatifs ». Concernant la présence de sperme mise en évidence par le Dr [...] de l’ [...], soit huit jours après les faits, l’inspecteur [...] a expliqué que dans l’hypothèse où il s’agissait effectivement de sperme, un prélèvement aurait vraisemblablement permis d’obtenir un profil biologique exploitable.</w:t>
      </w:r>
    </w:p>
    <w:p>
      <w:r>
        <w:rPr>
          <w:b/>
        </w:rPr>
        <w:t>E. 9</w:t>
      </w:r>
    </w:p>
    <w:p>
      <w:r>
        <w:t>L’audience de jugement s’est tenue le 20 septembre 2016, au terme de laquelle le premier juge a rendu son dispositif, lequel a été notifié aux parties par pli du 23 septembre 2016. Par courriers des 3 et 6 octobre 2016, les parties ont toutes deux requis la motivation du jugement. En d roit : 1. 1.1 L'appel est recevable contre les décisions finales de première instance (art. 308 al. 1 let. a CPC [Code de procédure civile du 19</w:t>
      </w:r>
    </w:p>
    <w:p>
      <w:r>
        <w:t>- 11 -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 1.2 En l’espèce, il s’agit d’une cause patrimoniale dans laquelle chacun des demandeurs a conclu au paiement d’un montant de 7'500 fr. à titre de réparation du tort moral. Les demandeurs ne sont pas consorts nécessaires, mais consorts simples. La valeur litigieuse, qui est déterminée par les conclusions (art. 91 CPC) des deux consorts simples qui sont additionnées (art. 93 al. 1 CPC ; Tappy, CPC commenté, Bâle 2011, n. 7 ad art. 93 CPC ; cf. aussi Frésard, in Corboz et al., Commentaire de la LTF, 2e éd. 2014, n. 14 à 16 ad art. 52 LTF et les références citées), dépasse ainsi 10'000 fr., de sorte que la voie de l’appel est ouverte. Formé en temps utile par des parties qui y ont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(Jeandin, op. cit., n. 6 ad art. 310 CPC ; JdT 2011 III 43 et les références). 3.</w:t>
      </w:r>
    </w:p>
    <w:p>
      <w:r>
        <w:t>- 12 - 3.1 Les appelants adhèrent à l’analyse du premier juge qui a retenu que les agents intervenus sur les lieux du [...] le 1er juin 2012 avaient fait preuve de manquements dans l’exercice de leur devoirs de fonction en les renvoyant chez eux sans prendre les mesures nécessaires à la récolte et à l’analyse d’éventuelles traces ADN sur leurs corps et/ou sur les lieux, et que ces manquements constituaient un acte illicite. En revanche, invoquant une violation de l’art. 49 CO (Code des obligations du 30 mars 1911 ; RS 220), ils contestent le rejet de la demande parce qu’ils n’auraient pas apporté la preuve de leur préjudice moral. Selon eux, cette preuve résulterait, d’une part, de leurs déclarations – consignées au procès-verbal et reprises dans le jugement – décrivant leur mal-être et, d’autre part, des rapports du [...], versés au dossier et même cités dans le jugement. Les appelants rappellent les principes posés par la jurisprudence pour l’octroi d’une indemnité satisfactoire, soit notamment une atteinte qui soit suffisamment grave, et soutiennent que le Tribunal fédéral a lui-même eu recours à une méthode largement abstraite, notamment en matière d’atteinte causée à une personne morale. Ils rappellent ensuite les règles régissant la fixation de l’indemnité, puis se prévalent du cas d’une personne habitant une petite localité, soupçonnée à tort d’une infraction infâmante et arrêtée au vu de tous, pour qui le Tribunal fédéral a jugé qu’il était « évident » que son arrestation avait été connue de tous et que si l’intéressé n’avait pas apporté la preuve des souffrances subies, notamment la « très grave atteinte à son honneur », toutefois « selon le cours ordinaire des choses, ces affirmations [étaient] vraisemblables et le dommage moral qu’il a[vait] ainsi subi [était] particulièrement important » (ATF 103 Ia 73). Le premier juge aurait dû procéder de la même manière et reconnaître la souffrance des appelants de ne pas savoir ce qui s’était passé durant la nuit en question en raison des manquements des agents de l’Etat. Selon les appelants, leur longue période de souffrance serait ainsi indéniable, de sorte que l’appel devrait être admis. 3.2 L'art. 49 CO prévoit que celui qui subit une atteinte illicite à sa personnalité a droit à une somme d’argent à titre de réparation morale,</w:t>
      </w:r>
    </w:p>
    <w:p>
      <w:r>
        <w:t>- 13 - pour autant que la gravité de l’atteinte le justifie et que l’auteur ne lui ait pas donné satisfaction autrement.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(Werro, Commentaire romand du code des obligations I, n° 2 ad art. 47 à 49 CO).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4A_159/2016 du 1er décembre 2016 et les arrêts cités). Le juge dispose d'un large pouvoir d'appréciation pour déterminer si les circonstances justifient une indemnité pour tort moral dans le cas particulier (ATF 137 III 303 consid. 2.2.2 p. 309 s.; ATF 129 III 715 consid. 4.4 p. 725). L'action en dommages-intérêts permet à la victime de l'atteinte à un droit de la personnalité d'obtenir la réparation du dommage causé par cette atteinte. Ce sont les principes de l'art. 41 CO qui s'appliquent : le demandeur a ainsi la charge d'établir (art. 8 CC [Code civil suisse du 10 décembre 1907; RS 210] et 42 CO) l'atteinte illicite, l'existence et l'ampleur du dommage, un rapport de causalité naturelle et adéquate liant le dommage à l'atteinte, ainsi que l'existence d'une faute de l'auteur (parmi plusieurs : Deschenaux/Steinauer, Personnes physiques et tutelle, 4e éd., nn. 611 ss ; Jeandin, Commentaire romand, CC I, nn. 23 s. ad art. 28a CC; Andreas Meili, in : Honsell/Vogt/Geiser (éd.), Basler Kommentar, Zivilgesetzbuch I, 5e éd., Bâle 2014, n. 16 ad art. 28a CC).</w:t>
      </w:r>
    </w:p>
    <w:p>
      <w:r>
        <w:t>- 14 - Aux termes de l'art. 42 al. 1 CO, la preuve du dommage incombe au demandeur.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122 III 219 consid. 3a; TF 4C.167/2006 du 16 mai 2007 consid. 7.1 et les références). Ainsi, des allégations fallacieuses, publiées dans un organe de presse largement distribué, sont certes susceptibles de causer un dommage, mais cela n'est pas nécessairement toujours le cas. La seule expérience générale de la vie ne permet pas d'établir, dans une telle situation, l'existence d'un dommage ni son ordre de grandeur (ATF 122 III 219 consid. 4). L’art. 42 al. 1 CO ne fait que confirmer la règle générale en matière de répartition du fardeau de la preuve de l’art. 8 CC. Si la victime ne réussit pas à apporter la preuve, c’est elle qui devra supporter les conséquences de l’absence de preuve (Müller, La responsabilité civile extracontractuelle, Bâle 2013, p. 187 n. 565). 3.3 3.3.1 En l’espèce, la question à résoudre est celle de savoir si les appelants ont ou non apporté la preuve du dommage qu’il leur incombait d’établir. Il faut tout d’abord relever que les allégations des appelants sont particulièrement sommaires, puisqu’elles se résument à deux allégués (all. 23 : « Les demandeurs doivent maintenant vivre avec cette incertitude ; preuve : par interrogatoire des parties » ; all. 24 : « Cela leur</w:t>
      </w:r>
    </w:p>
    <w:p>
      <w:r>
        <w:t>- 15 - cause un préjudice moral conséquent ; preuve : par interrogatoire des parties ; par appréciation ; pièces à déposer ; expertise réservée »). Les preuves à l’appui du dommage se limitent à celles mentionnées par le jugement, à savoir, d’une part, deux constats médicaux de l’ [...] du 9 juillet 2012, tirés du dossier pénal (pièces 51/6 et 51/7 ; let. C/5 supra) – faisant état de diverses lésions présentes sur le corps des appelants « vraisemblablement en rapport avec les faits susmentionnés », de leurs difficultés à s’endormir et de leurs réveils fréquents, évoqués par ces derniers, ainsi que du fait que C.________ évite de sortir de chez soi depuis les faits litigieux –, et, d’autre part, les déclarations des appelants eux-mêmes. Celles-ci sont pour le moins concises, si l’on se réfère au procès-verbal de leur audition, dont il ressort que M.________ a déclaré, ad allégué 23, « oui et c’est très dur », et ad allégué 24, « oui », C.________ ayant quant à lui affirmé, pour chacun de ces deux allégués, « c’est exact ». Comme relevé par le premier juge, ce dernier a encore précisé, lors de son audition : « Pour moi, la faute de la police c’est que maintenant nous ne saurons jamais ce qui s’est passé. Si je savais qui m’a agressé, je me sentirais mieux. Tout me passe par la tête depuis 2 ans, même de me suicider ». Le premier juge a relevé qu’au-delà des déclarations des demandeurs, le dossier ne contenait aucun élément objectif susceptible de confirmer leurs dires, soit d’attester des difficultés et des souffrances liées aux événements du 1er juillet 2012 qu’ils rencontreraient encore aujourd’hui, qu’aucun témoin ne s’était exprimé à ce propos, qu’aucun suivi psychologique ne semblait avoir été effectué et qu’aucun arrêt de travail n’avait été prescrit. Cette appréciation peut être confirmée. En effet, les appelants n’ont nullement établi « une longue période de souffrance et d’incapacité de travail, ou des préjudices psychiques importants, tels un état post-traumatique avec changement durable de la personnalité », circonstances dont ils rappellent eux-mêmes, en se référant à la jurisprudence (TF 6B_213/2012 du 22 novembre 2012 consid. 3.1, SJ 2013 I 169), qu’elles sont pertinentes pour justifier l’octroi d’une indemnité. En l’occurrence, les certificats médicaux produits datent de</w:t>
      </w:r>
    </w:p>
    <w:p>
      <w:r>
        <w:t>- 16 - moins de dix jours après les faits, de sorte qu’ils ne peuvent pas établir une longue période de souffrance. Or la preuve de telles circonstances – si elles étaient réalisées – était aisée à apporter, notamment par la production de certificats médicaux actualisés, de certificats d’incapacité de travail ou de témoignages sur le changement de comportement, tout cela constituant des modes de preuve usuels dans une procédure judiciaire. On pouvait ainsi raisonnablement attendre des appelants qu’ils apportent ces preuves à l’appui de leurs conclusions. On ne peut que constater qu’ils n’en ont rien fait. 3.3.2 Les appelants s’en prennent ensuite à la motivation du jugement, qui serait selon eux contradictoire dans la mesure où le premier juge, tout en reconnaissant qu’il était « indéniable que ce genre d’expérience [était] propre à causer de la souffrance chez ceux qui en [étaient] les proies, et sans minimiser celle qui affect[ait] très vraisemblablement les demandeurs », a tout de même constaté que ceux- ci n’avaient pas apporté la preuve de ce préjudice moral. En réalité, ce que le premier juge a voulu exprimer, c’est que l’atteinte peut se concevoir, mais qu’elle ne se présume pas dans les circonstances présentes et qu’elle n’a pas été démontrée. Ce raisonnement échappe à la critique. Si l’on peut admettre le recours à une méthode « abstraite » (appel, p. 9) lorsqu’il s’agit d’apprécier l’atteinte à la personnalité d’une personne morale, ce raisonnement n’est pas sans autre transposable au cas de personnes physiques, pour lesquelles les preuves citées ci-dessus auraient aisément pu être administrées. De même, la comparaison avec le cas d’un homme arrêté dans les années 1970 sous les yeux de tous, à qui un petit village avait collé l’étiquette d’assassin, et dont la prévention n’avait été levée que plus d’une année après que l’autorité avait su qu’il était innocent, n’est pas pertinente (ATF 103 Ia 73). En effet, aucun opprobre collectif n’a en l’espèce frappé les appelants. Leurs proches ne se sont pas détournés</w:t>
      </w:r>
    </w:p>
    <w:p>
      <w:r>
        <w:t>- 17 - d’eux et ils n’ont par ailleurs pas été rejetés par leur collectivité. De telles stigmatisations collectives, difficiles à établir, pouvaient certainement être tenues pour évidentes par le Tribunal fédéral dans le contexte du cas qu’il avait à juger à l’époque. En revanche, de tels préjudices ne sont même pas allégués en l’espèce. C’est donc en vain que les appelants tentent d’étendre – bien trop largement – l’argumentaire que le Tribunal fédéral avait développé à l’occasion de l’arrêt cité. Partant, il ne se justifie pas de s'écarter de l'analyse du premier juge, qui a refusé d’allouer aux appelants une indemnité pour tort moral, au motif que ceux-ci n’avaient pas apporté la preuve de leur préjudice moral. Le moyen tiré d’une violation de l’art. 49 CO est donc mal fondé et doit être rejeté. 4. 4.1 En conclusion, l'appel doit être rejeté selon le mode procédural de l'art. 312 al. 1 CPC. 4.2 Dès lors que l'appel était d'emblée dénué de chances de succès, la requête d'assistance judiciaire des appelants doit être rejetée (art. 117 let. b CPC). 4.3 Les frais judiciaires de deuxième instance, fixés à 670 fr. (art. 62 al. 1 et 2 TFJC [tarif des frais judiciaires civils du 28 septembre 2010 ; RSV 270.11.5]), seront mis à la charge des appelants, qui succombent (art. 106 al. 1 CPC), à parts égales et solidairement entre eux (art. 106 al. 3 CPC). 4.4 L'intimé n'ayant pas été invité à se déterminer sur l’appel, il n'y a pas lieu de lui allouer des dépens.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