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JI13.052343 vom 17. Februar 2015</w:t>
      </w:r>
    </w:p>
    <w:p>
      <w:r>
        <w:t>VD Tribunal cantonal, 2015-02-17, FR</w:t>
      </w:r>
    </w:p>
    <w:p>
      <w:r>
        <w:rPr>
          <w:b/>
        </w:rPr>
        <w:t xml:space="preserve">Quelle: </w:t>
      </w:r>
      <w:r>
        <w:t>https://mcp.opencaselaw.ch/entscheid/vd_gerichte_JI13.052343</w:t>
      </w:r>
    </w:p>
    <w:p>
      <w:r>
        <w:t>FR: VD_GERICHTE JI13.052343 du 17 février 2015</w:t>
      </w:r>
    </w:p>
    <w:p>
      <w:r>
        <w:t>IT: VD_GERICHTE JI13.052343 del 17 febbraio 2015</w:t>
      </w:r>
    </w:p>
    <w:p>
      <w:pPr>
        <w:pStyle w:val="Heading2"/>
      </w:pPr>
      <w:r>
        <w:t>Erwägungen</w:t>
      </w:r>
    </w:p>
    <w:p>
      <w:r>
        <w:rPr>
          <w:b/>
        </w:rPr>
        <w:t>E. 3</w:t>
      </w:r>
    </w:p>
    <w:p>
      <w:r>
        <w:t>L’appelant conteste que l’intimé puisse prétendre à une contribution d’entretien pour enfant majeur au sens de l’art. 277 al. 2 CC. Il soutient tout d’abord que l’interruption de sa formation entre le gymnase et le début de son apprentissage serait trop importante pour justifier l’octroi d’une contribution d’entretien au-delà de sa majorité.</w:t>
      </w:r>
    </w:p>
    <w:p>
      <w:r>
        <w:rPr>
          <w:b/>
        </w:rPr>
        <w:t>E. 3.1</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 6.3.2). La formation tend à l’acquisition de ce qui est nécessaire pour que l’enfant puisse se rendre autonome par la pleine exploitation de ses capacités, soit pour faire face par ses propres ressources aux besoins matériels de la vie (ATF 117 II 372 c. 5b; ATF 117 II 127 c. 3b; De Luze/Page/Stoudmann, Droit de la famille, Code annoté, Lausanne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 4b et c). En règle générale, l’achèvement d’une formation appropriée devrait correspondre à l’épuisement des aptitudes potentielles de l’enfant. La révision de 1994 a par ailleurs conduit à l’abandon de « l’exigence d’un lien étroit entre la formation suivie après la majorité et celle débutée</w:t>
      </w:r>
    </w:p>
    <w:p>
      <w:r>
        <w:t>- 21 - avant ». La jurisprudence du Tribunal fédéral continue en revanche à faire référence au critère du plan d’ensemble de la formation (« Lebensplan ») sans exiger, toutefois, qu’il soit réglé dans le détail (« seinen in groben Zügen festgelegten Lebensplan ») (Meier/Stettler, Droit de la filiation, 5e éd., 2014, n. 1199 p. 788 s et les références citées). Le critère du plan d’ensemble de la formation peut poser problème en cas de changement de formation ou d’échec du projet initial. Aussi admet-on que dans le doute, l’obligation des parents peut subsister bien qu’elle ne s’inscrive plus dans le plan originel, sous réserve de l’hypothèse selon laquelle l’enfant devenu majeur serait seul responsable de son nouvel état. Aussi, le maintien ou la reprise de l’obligation d’entretien en cas de formation complémentaire ou de changement de formation devront-ils être appréciés au regard de ce qui peut raisonnablement être exigé des parents; les termes larges de « formation appropriée » vont d’ailleurs dans ce sens (Meier/Stettler, op. cit., n. 1203 p. 790 s et les références citées; CACI 19 décembre 2014/653 c. 4b). L’obligation d’entretien n’existe en principe que pour une seule formation professionnelle (ATF 118 II 97 c. 4a). Néanmoins, cette approche restrictive s’est révélée peu adaptée à la diversité des parcours individuels et à la complexité de l’adolescence, laquelle s’accompagne souvent de la recherche de sa propre identité et de revirements dans les goûts et les aptitudes (Meier/Stettler, op. cit., n. 1200 p. 789). La formation doit être achevée dans des délais normaux, ce qui implique que l’enfant doit s’y consacrer avec zèle ou, en tout cas, avec bonne volonté, sans toutefois faire preuve de dispositions exceptionnelles. Il y a lieu d’accorder une importance décisive à l’intérêt, à l’engagement et à l’assiduité que manifeste un enfant à l’égard d’une formation déterminée dont on peut légitimement admettre qu’elle correspond à ses aptitudes (ATF 117 II 127 c. 3b; ATF 114 II 205 c. 4b; Meier/Stettler, op. cit., n. 1202 p. 790). Il convient également de prendre en compte que le manque de maturité d’un jeune adulte de dix-huit ans peut le conduire dans un premier temps à choisir une voie qui ne correspond pas à ses goûts véritables (ATF 114 II 205 c. 3c; ATF 107 II 465 c. 6c). Le retard causé par un échec occasionnel, de même qu’une brève période infructueuse, ne</w:t>
      </w:r>
    </w:p>
    <w:p>
      <w:r>
        <w:t>- 22 - prolonge pas nécessairement de manière anormale les délais de formation (ATF 117 II 127 c. 3b; ATF 114 II 205 c. 4b).</w:t>
      </w:r>
    </w:p>
    <w:p>
      <w:r>
        <w:rPr>
          <w:b/>
        </w:rPr>
        <w:t>E. 3.2</w:t>
      </w:r>
    </w:p>
    <w:p>
      <w:r>
        <w:t>En l’espèce, il n’est pas contesté qu’à sa majorité, soit le 22 mai 2012, l’intimé n’avait encore acquis aucune formation appropriée lui permettant de parvenir à son indépendance financière. A cette époque, l’intimé venait d’échouer dans ses études gymnasiales entreprises en 2010.</w:t>
      </w:r>
    </w:p>
    <w:p>
      <w:r>
        <w:rPr>
          <w:b/>
        </w:rPr>
        <w:t>E. 3.2.1</w:t>
      </w:r>
    </w:p>
    <w:p>
      <w:r>
        <w:t>Le premier juge a considéré que l’intimé avait, à tout le moins depuis l’école secondaire, démontré un intérêt pour une profession relative à la physique. Son plan de formation avait ainsi déjà été fixé, du moins dans ses grandes lignes, avant sa majorité. Les études gymnasiales entreprises n’ayant toutefois pas été conformes à ses aptitudes, il avait d’emblée recherché un apprentissage dans un domaine scientifique, pour lequel il était notoire que de bonnes connaissances en anglais étaient un atout. Ce n’était d’ailleurs qu’au retour de son séjour linguistique que l’intimé avait été engagé en qualité d’apprenti laborantin en physique. S’agissant de cet apprentissage, l’intimé avait démontré qu’il donnait pleinement satisfaction à son employeur et suivait avec succès les cours professionnels. Il s’investissait pleinement dans cette voie qui correspondait tant à ses aspirations qu’à ses aptitudes. En outre, il terminerait son apprentissage de quatre ans dans des délais normaux, soit à l’âge de vingt-trois ans. Partant, le retard causé par son échec au gymnase et son séjour linguistique n’avaient pas prolongé de manière anormale son parcours scolaire et professionnel. L’intimé pouvait dès lors prétendre au versement d’une contribution d’entretien jusqu’à l’achèvement de son apprentissage.</w:t>
      </w:r>
    </w:p>
    <w:p>
      <w:r>
        <w:rPr>
          <w:b/>
        </w:rPr>
        <w:t>E. 3.2.2</w:t>
      </w:r>
    </w:p>
    <w:p>
      <w:r>
        <w:t>L’appelant conteste que le plan de formation de l’intimé ait déjà été fixé avant sa majorité, au motif qu’après son échec au gymnase, il n’aurait pas postulé uniquement à des postes de laborantin en physique, mais également à d’autres postes, « soit chez [...], ou auprès des [...], ou également en qualité d’apprenti électronicien, polymécanicien ou informaticien ».</w:t>
      </w:r>
    </w:p>
    <w:p>
      <w:r>
        <w:t>- 23 - En l’espèce, il ressort des pièces produites qu’après son échec au gymnase, l’intimé a multiplié les démarches pour trouver un apprentissage dans le domaine scientifique, en qualité d’électronicien, informaticien, polymécanicien ou laborantin en physique. Dans ce contexte, il s’est adressé à plusieurs employeurs potentiels susceptibles de lui proposer une formation dans l’un de ces métiers, y compris à des entreprises privées. Il a également passé un certain nombre de tests d’aptitude et de concours techniques, en particulier le test « [...] » auprès de [...]. Contrairement à ce que plaide l’appelant, rien n’indique en revanche que l’intimé aurait postulé auprès de l’une de ces entreprises pour exercer un métier autre que scientifique. Tant le parcours scolaire de l’intimé – qui a opté dès l’école secondaire pour l’option mathématiques et physique – que son dossier de candidature, ainsi que ses différentes postulations et les stages qu’il a effectués durant cette période, démontrent son intérêt constant pour l’exercice d’une profession technique, idéalement dans un domaine d’application des mathématiques ou de la physique. Il y a dès lors lieu de confirmer l’appréciation des premiers juges selon laquelle le plan d’étude de l’intimé, visant à acquérir une formation lui permettant d’exercer une profession dans l’un de ces domaines, était déjà fixé, du moins dans ses grandes lignes, avant qu’il atteigne sa majorité. Bien que l’échec de l’intimé au gymnase l’ait contraint à suivre une filière plus adaptée à ses aptitudes, force est de constater qu’il a immédiatement cherché une alternative, en multipliant les postulations et stages afin d’atteindre son objectif. Dans ce contexte, il ne se justifie pas de nier à l’intimé le droit à une contribution d’entretien après sa majorité au motif qu’il aurait échoué dans ses études gymnasiales. Bien que les causes exactes de cet échec ne soient pas connues, vu l’âge de l’intimé (entre 16 et 17 ans et demi) et l’instabilité affective liée à sa situation, ajoutés au contexte procédural prévalant dès fin 2010, on ne saurait en effet imputer ces résultats à un comportement fautif ou négligent de sa part, ce que l’appelant n’allègue du reste pas. Peu importe, dès lors, que l’intimé soit un enfant à haut potentiel ou non. L’appelant, qui conteste que tel soit le cas, ne démontre d’ailleurs pas en quoi cela serait déterminant.</w:t>
      </w:r>
    </w:p>
    <w:p>
      <w:r>
        <w:t>- 24 - Enfin et comme l’ont retenu les premiers juges, en l’absence de réponse positive, il était judicieux que l’intimé entreprenne un séjour linguistique afin d’améliorer son niveau d’anglais, la maîtrise de cette langue étant indispensable dans le milieu scientifique. Au demeurant, l’appelant, qui qualifie ce séjour linguistique d’excessivement coûteux, ne conteste pas qu’il ait permis à l’intimé de trouver une place d’apprentissage correspondant à ses aptitudes et à ses aspirations. Au vu de ces éléments, il y a lieu de confirmer que le retard causé par l’échec de l’intimé au gymnase et son séjour linguistique n’ont pas prolongé de manière anormale le parcours scolaire et professionnel de ce dernier. Dès lors, l’intimé a droit, dans son principe, au versement d’une contribution d’entretien dès sa majorité et jusqu’à l’achèvement de son apprentissage.</w:t>
      </w:r>
    </w:p>
    <w:p>
      <w:r>
        <w:rPr>
          <w:b/>
        </w:rPr>
        <w:t>E. 4</w:t>
      </w:r>
    </w:p>
    <w:p>
      <w:r>
        <w:t>L’appelant soutient ensuite que l’intimé aurait refusé de donner suite à sa tentative de reprise de contact en 2010 et n’aurait plus donné signe de vie après son départ à l’étranger en septembre 2012. Par conséquent, la rupture des relations personnelles serait due exclusivement à la faute de l’intimé, qui ne pourrait ainsi prétendre à une contribution d’entretien après sa majorité.</w:t>
      </w:r>
    </w:p>
    <w:p>
      <w:r>
        <w:rPr>
          <w:b/>
        </w:rPr>
        <w:t>E. 4.1</w:t>
      </w:r>
    </w:p>
    <w:p>
      <w:r>
        <w:t>et 4.2; TF 5A_476/2010 du 7 septembre 2010 c. 2.2.3; TF 5C.107/2005 du 13 avril 2006 c. 4.2.1).</w:t>
      </w:r>
    </w:p>
    <w:p>
      <w:r>
        <w:rPr>
          <w:b/>
        </w:rPr>
        <w:t>E. 4.2</w:t>
      </w:r>
    </w:p>
    <w:p>
      <w:r>
        <w:t>En l’espèce, bien que l’appelant et la mère de l’intimé n’aient jamais été mariés, il n’en demeure pas moins qu’un conflit important et durable, remontant à la grossesse de cette dernière, caractérise leur</w:t>
      </w:r>
    </w:p>
    <w:p>
      <w:r>
        <w:t>- 26 - relation. C’est dans ce contexte que l’appelant a cessé, à deux reprises et sans raison particulière, de rendre visite à son fils encore bébé, la première fois lorsqu’il a rencontré son épouse actuelle et la seconde fois après quelques visites au Point Rencontre, instaurées à l’initiative de son ex-compagne, alors que l’intimé était âgé d’environ deux ans. Comme l’admet expressément l’appelant, il n’existait alors plus de volonté, de sa part ou de celle de la mère de l’enfant, de poursuivre le droit de visite. De son côté, l’appelant ne souhaitait d’ailleurs plus être confronté au milieu sectaire dans lequel évoluait encore, selon lui, la mère de l’intimé. L’appelant n’a en revanche pas prétendu que celle-ci se serait opposée à ce qu’il continue à voir son fils. Par la suite, l’appelant ne s’est jamais manifesté auprès de ce dernier, que ce soit pour son anniversaire, pour Noël ou simplement pour prendre de ses nouvelles. Il est établi que cet abandon a profondément et durablement affecté l’enfant, qui a entrepris différentes thérapies en lien avec cette carence affective. De son côté, enfant puis adolescent, l’intimé n’a pas cherché à rencontrer son père, ce qui peut se comprendre dans la mesure où il pouvait légitimement déduire de la situation que ce dernier ne se préoccupait pas de lui. Dans ces circonstances, l’appelant ne saurait reprocher à son fils, qui n’est évidemment en rien responsable de la rupture des relations entre ses parents ni de leur incapacité à surmonter leur conflit pour que le droit de visite se poursuive, de ne pas avoir d’emblée donné suite, en 2010, soit après plus de quatorze années de silence, à sa tentative de reprise de contact, qui plus est dans le contexte d’une procédure judiciaire. Par ailleurs et comme l’ont retenu les premiers juges, l’appelant, qui se trouvait alors face à un adolescent de seize ans et demi, à qui il n’avait pour ainsi dire jamais parlé, aurait dû chercher à comprendre cette réaction et insister, le cas échéant, pour nouer un véritable lien avec son fils. L’appelant ne saurait dès lors se prévaloir, dans le cadre de la présente procédure, de la réaction initiale de son fils en 2010. Par la suite, l’intimé a d’ailleurs réalisé l’importance de connaître son père et a recontacté ce dernier après le retrait de la procédure judiciaire. Les parties ont alors communiqué par messages jusqu’en septembre 2012 et se sont rencontrés à quatre reprises durant l’été 2012. Entre autres discussions, l’intimé a fait part à son père de son projet de séjour linguistique et lui a</w:t>
      </w:r>
    </w:p>
    <w:p>
      <w:r>
        <w:t>- 27 - demandé de participer à sa prise en charge financière. Bien qu’il ait obtenu les informations et documents demandés à son fils, l’appelant n’a cependant pas établi la convention de participation dont il lui avait parlé et, surtout, a totalement cessé de lui répondre. Dans de telles circonstances, il n’apparaît pas que la nouvelle rupture des relations en 2012 serait imputable à l’intimé. En effet, même si l’appelant n’a manifestement pas apprécié la demande de son fils, sa réaction apparaît comme inadéquate et disproportionnée. Dans ce contexte, on ne peut reprocher à l’intimé de ne pas avoir écrit ou recontacté son père après son départ à l’étranger, d’autant qu’il lui avait déjà adressé deux messages restés sans réponse. Au vu de ce qui précède, on ne saurait considérer que la rupture des relations personnelles entre père et fils résulterait d’un comportement fautif de l’intimé. Partant, le grief de l’appelant tiré de l’absence de relations personnelles doit être rejeté.</w:t>
      </w:r>
    </w:p>
    <w:p>
      <w:r>
        <w:rPr>
          <w:b/>
        </w:rPr>
        <w:t>E. 5</w:t>
      </w:r>
    </w:p>
    <w:p>
      <w:r>
        <w:t>L’appelant remet ensuite en cause les montants retenus par le premier juge pour fixer la contribution d’entretien en faveur de l’intimé. S’agissant de sa propre situation financière, il conteste disposer des revenus pris en compte par l’autorité de première instance, d’une part, et le fait que les charges de sa résidence secondaire en France aient été écartées de son budget, d’autre part. L’appelant conteste également la prise en compte, dans les charges de l’intimé, d’un montant de base élargi de 20% (soit 1'020 fr.). Il estime enfin que l’imputation opérée par le premier juge sur les revenus d’apprenti de l’intimé serait insuffisante.</w:t>
      </w:r>
    </w:p>
    <w:p>
      <w:r>
        <w:rPr>
          <w:b/>
        </w:rPr>
        <w:t>E. 5.1.1</w:t>
      </w:r>
    </w:p>
    <w:p>
      <w:r>
        <w:t>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Selon l’art. 277 al. 2</w:t>
      </w:r>
    </w:p>
    <w:p>
      <w:r>
        <w:t>- 28 - CC, la contribution envers l’enfant majeur n’est due que « dans la mesure où les circonstances permettent de l’exiger d’eux ». Celui des parents dont la capacité financière est supérieure peut par ailleurs être tenu, suivant les circonstances, de subvenir à l'entier du besoin en argent si l'autre remplit son obligation à l'égard de l'enfant essentiellement en nature (TF 5A_386/2012 du 23 juillet 2012 c. 4.2.1 et les références citées). La loi ne prescrit toutefois pas de méthode de calcul particulière pour arrêter la contribution d'entretien (ATF 128 III 411 c. 3.2.2); sa fixation relève de l'appréciation du juge, qui jouit d'un large pouvoir d'appréciation et applique les règles du droit et de l'équité (art. 4 CC; TF 5A_330/2014 du 30 octobre 2014 c. 4; TF 5A_186/2012 du 28 juin 2012 c. 6.2.3).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5A_330/2014 du 30 octobre 2014 c. 4 et les références citées). 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5A_330/2014 du 30 octobre 2014 c. 8.2.1; TF 5A_186/2012 du 28 juin 2012 c. 6.2.1). Le soutien financier des père et mère ne peut se justifier que dans le cas où l’enfant ne dispose pas lui-même des ressources nécessaires pour assumer ses besoins courants et les frais engendrés par sa formation. Son autonomie partielle ou complète peut notamment découler du produit de l’activité lucrative qu’il est en mesure d’exercer parallèlement à la poursuite de sa formation, des biens acquis au cours de la minorité ou encore des allocations et des bourses d’études indépendantes de la situation patrimoniale des parents (Meier/Stettler, op. cit., n. 1210 p. 794 s). Lorsque l’enfant majeur effectue un apprentissage, une imputation d’une partie de ses revenus est admise par la jurisprudence. Ainsi, le Tribunal fédéral a considéré qu’il n’était pas arbitraire de prendre en compte 50% du revenu d’apprenti en première année, 60% en deuxième année et 100% en troisième année, soit environ 70% du revenu en moyenne (TF 5C.106/2004 du 5 juillet 2004 c. 3.4).</w:t>
      </w:r>
    </w:p>
    <w:p>
      <w:r>
        <w:t>- 29 -</w:t>
      </w:r>
    </w:p>
    <w:p>
      <w:r>
        <w:rPr>
          <w:b/>
        </w:rPr>
        <w:t>E. 5.1.2</w:t>
      </w:r>
    </w:p>
    <w:p>
      <w:r>
        <w:t>Lorsque le jeune adulte est dépendant de l’aide de ses parents, il doit adapter son niveau de vie et ses exigences à la contribution qui peut lui être fournie sans sacrifice excessif (Meier/Stettler, op. cit., n. 1211 p. 795 et la référence citée). Dans la comparaison de la situation économique de chacun, il convient de prendre en compte non seulement le montant des revenus, mais aussi les éléments de la fortune. On ne peut en principe exiger un tel entretien que dans la mesure où, après prise en compte de la contribution d’entretien à l’enfant majeur, le débiteur dispose encore d’un revenu qui dépasse le minimum vital au sens large, dans lequel on aura ajouté un supplément forfaitaire de 20% au montant de base (Meier/Stettler, op. cit., n. 1211 p. 795 s et les références citées). Selon le Tribunal fédéral, la majoration de 20 % ne s'applique qu'à la seule base mensuelle et non aux autres postes du minimum vital (cf. TF 5A_56/2011 du 25 août 2011 c. 3.4.1; TF 5A_785/2010 du 30 juin 2011 c.</w:t>
      </w:r>
    </w:p>
    <w:p>
      <w:r>
        <w:rPr>
          <w:b/>
        </w:rPr>
        <w:t>E. 5.1.3</w:t>
      </w:r>
    </w:p>
    <w:p>
      <w:r>
        <w:t>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CACI 2 octobre 2014/523 c. 4.2.2).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w:t>
      </w:r>
    </w:p>
    <w:p>
      <w:r>
        <w:t>- 30 - généralisations et le recours à des données chiffrées disponibles relatives aux besoins (« Tabelles zurichoises ») sont licites, dans la mesure où il est procédé aux adaptations nécessaires (TF 5A_115/2011 du 11 mars 2011 c. 2.2 et 2.3, FamPra.ch 2011 p. 769; CACI 2 octobre 2014/523 c. 4.2.2). Il y a en effet lieu de les affiner en tenant compte, conformément à l’art. 285 al. 1 CC, des besoins concrets particuliers de l’enfant, ainsi que du niveau de vie et de la capacité contributive des parents (TF 5A_234/2011 du 21 novembre 2011 c. 4.4.3).</w:t>
      </w:r>
    </w:p>
    <w:p>
      <w:r>
        <w:rPr>
          <w:b/>
        </w:rPr>
        <w:t>E. 5.1.4</w:t>
      </w:r>
    </w:p>
    <w:p>
      <w:r>
        <w:t>Lorsque plusieurs enfants ont droit à une contribution alimentaire, le principe de l'égalité de traitement entre eux doit être observé (ATF 127 III 68 c. 2c; ATF 126 III 353 c. 2b), ce qui implique que les enfants d'un même débiteur doivent être traités financièrement de manière identique, proportionnellement à leurs besoins objectifs, en prenant en considération des frais éducatifs, médicaux ou de formation spécifiques à chacun d'eux. En outre, la quotité de la pension ne dépend pas uniquement de la capacité contributive du parent débiteur d'aliments, mais aussi des ressources financières du parent qui a obtenu la garde; le parent auquel incombe l'entretien de plusieurs enfants dont les besoins sont semblables peut dès lors devoir s'acquitter de montants différents si ces enfants vivent dans des foyers qui disposent de moyens financiers dissemblables (TF 5A_685/2008 du 18 décembre 2008 c. 3.2.4; ATF 127 III 68 c. 2b; ATF 126 III 353 c. 2b).</w:t>
      </w:r>
    </w:p>
    <w:p>
      <w:r>
        <w:rPr>
          <w:b/>
        </w:rPr>
        <w:t>E. 5.2</w:t>
      </w:r>
    </w:p>
    <w:p>
      <w:r>
        <w:t>La capacité contributive de chaque parent sera déterminée à partir de son revenu net, dont on déduira le minimum vital calculé selon les normes du droit de la poursuite (Meier/Stettler, op. cit., n. 1080 p. 716). Seules les charges effectives, dont le débirentier s’acquitte réellement, doivent être prises en compte dans le cadre de la fixation de ses revenus. Cette solution permet d'éviter un gonflement artificiel du passif du débiteur, propre à favoriser des situations de déficit conduisant au refus de toute pension (TF 5A_785/2010 du 30 juin 2011 c. 4.1; TF 5A_18/2011 du 30 mai 2011 c. 4.2; TF 5C.107/2005 du 13 avril 2006 c. 4.2.1). Si l’intéressé ne démontre pas le paiement effectif d’intérêts hypothécaires, l’autorité cantonale ne verse pas dans l’arbitraire en</w:t>
      </w:r>
    </w:p>
    <w:p>
      <w:r>
        <w:t>- 31 - refusant de prendre en compte cette charge (TF 5A_608/2014 du 16 décembre 2014 c. 4.1). En outre, le montant des primes d’une assurance 3e pilier et l’amortissement de la dette hypothécaire n’ont pas à être pris en compte dans les charges incompressibles, car il s’agit de montants servant à la constitution du patrimoine (TF 5A_608/2011 du 13 décembre 2011 c. 6.2.3). Par ailleurs, les dettes hypothécaires servant l’acquisition d’un bien immobilier ne sont prises en compte dans le calcul du minimum vital que si elles concernent le logement familial selon la volonté commune des époux (TF 5A_747/2012 du 2 avril 2013 c. 5.4). De jurisprudence constante, l’entretien d’un enfant majeur aux études n’a pas à être inclus dans le minimum vital de ses parents (TF 5A_429/2013 du 16 août 2013 c. 4 et les références citées; TF 5A_330/2008 du 10 octobre 2008 c. 3).</w:t>
      </w:r>
    </w:p>
    <w:p>
      <w:r>
        <w:rPr>
          <w:b/>
        </w:rPr>
        <w:t>E. 5.2.1</w:t>
      </w:r>
    </w:p>
    <w:p>
      <w:r>
        <w:t>S'agissant de la détermination des ressources d’un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5A_506/2014 du 23 octobre 2014 c. 4.2.2; TF 5A_696/2011 du 28 juillet 2012 c. 4.1.2; TF 5A_248/2012 du 28 juin 2012 c. 5.2). Dans ce dernier arrêt, le Tribunal fédéral n’a pas remis en question la prise en considération des revenus moyens (salaire et bénéfices) de l’intéressé sur plusieurs années, en application du principe de la</w:t>
      </w:r>
    </w:p>
    <w:p>
      <w:r>
        <w:t>- 32 - transparence, étant précisé que cette manière d’arrêter ses revenus relevait de l’appréciation des preuves par l’autorité cantonale.</w:t>
      </w:r>
    </w:p>
    <w:p>
      <w:r>
        <w:rPr>
          <w:b/>
        </w:rPr>
        <w:t>E. 5.2.2</w:t>
      </w:r>
    </w:p>
    <w:p>
      <w:r>
        <w:t>Pour les indépendants, le revenu est constitué – lorsqu'une comptabilité est tenue dans les règles – par le bénéfice net d'un exercice; en l'absence de comptabilité, il s'agit de la différence du capital propre entre deux exercices (Chaix, Commentaire romand, n. 7 ad art. 176 CC). La jurisprudence préconise de prendre en considération comme revenu effectif le bénéfice net moyen du compte d'exploitation des trois ou quatre dernières années (Bastons Bulletti, op. cit., note infrapaginale 19; TF 5A_ 246/2009 du 22 mars 2010 c. 3.1., FamPra.ch. 2010 p. 678; TF 5P_342/2001 du 20 décembre 2001 c. 3a; Juge délégué CACI 19 août 2014 c. 5.2/a). Plus les fluctuations de revenus sont importantes et les données fournies par l'intéressé sont incertaines, plus la période de comparaison doit être longue. Les bilans singuliers, c'est-à-dire particulièrement bons ou mauvais, peuvent selon les circonstances être ignorés (TF 5A_874/2014 du 8 mai 2015 c. 5.2.1; Meier/Stettler, op. cit., note infrapaginale 2508 p. 716 s). Lorsque les allégations sur le montant des revenus ne sont pas vraisemblables et que les pièces produites ne sont pas convaincantes – comme par exemple lorsque les comptes de résultat manquent – les prélèvements privés constituent alors un indice permettant de déterminer ce train de vie (TF 5A_259/2012 du 14 novembre 2012 c. 4.2; TF 5A_246/2009 du 22 mars 2010 c. 3.1., FamPra.ch 2010 p. 678; TF 2P.29/2007 du 31 mai 2007 c. 2.4).</w:t>
      </w:r>
    </w:p>
    <w:p>
      <w:r>
        <w:rPr>
          <w:b/>
        </w:rPr>
        <w:t>E. 5.3</w:t>
      </w:r>
    </w:p>
    <w:p>
      <w:r>
        <w:t>En l’espèce, la contribution d’entretien a été fixée par le premier juge en équité, en tenant compte d’un revenu de l’appelant de 8'679 fr. 95, soit un salaire mensuel net de 7'633 fr. 15 résultant de son certificat de salaire 2013, plus 1'046 fr. 80 de bénéfice (correspondant à la moyenne des six premiers mois de l’année 2014). Ses charges ont été arrêtées à 5'202 fr. 25, montant hypothétique d’impôts de 1'000 fr. compris. Quant à l’intimé, ses charges ont été fixées à 1'591 fr. 85,</w:t>
      </w:r>
    </w:p>
    <w:p>
      <w:r>
        <w:t>- 33 - minimum vital élargi de 1'020 fr. compris, et ses revenus d’apprenti comptabilisés à hauteur des deux tiers, allocations de formation en sus.</w:t>
      </w:r>
    </w:p>
    <w:p>
      <w:r>
        <w:rPr>
          <w:b/>
        </w:rPr>
        <w:t>E. 5.3.1</w:t>
      </w:r>
    </w:p>
    <w:p>
      <w:r>
        <w:t>S’agissant tout d’abord des charges de l’appelant, il n’y a pas lieu de retenir le montant allégué en appel de 1'431 euros (soit 2'862 euros / 2) au titre de « charges de l’appartement de l’appelant en France ». Comme l’a retenu le premier juge, ce montant n’a pas à être pris en compte dans ses charges dès lors que l’appelant n’a pas prouvé son existence de manière probante, notamment en raison du fait que la date d’achat de ce bien immobilier n’est pas connue. En outre, selon la déclaration d’impôt 2012 de l’appelant et de son épouse, les revenus locatifs de cet immeuble seraient de 2'274 fr. et les « intérêts passifs et dette liés à cet immeuble » de 1'976 fr. pour 2012. Or l’appelant n’a pas fait état de ce revenu locatif, qui devrait le cas échéant être pris en compte, ni produit les pièces actualisées y relatives. Enfin, les documents produits à l’audience du 28 octobre 2014 (proposition de financement et tableaux d’amortissement non datés), ne suffisent pas à démontrer le paiement effectif du montant allégué par l’appelant (cf. TF 5A_608/2014 du 16 décembre 2014 c. 4.1), ni qu’il s’agirait de frais hypothécaires et non d’amortissement destiné à la constitution d’un patrimoine (cf. TF 5A_608/2011 du 13 décembre 2011 c. 6.2.3). Les charges de l’appelant, non contestées pour le surplus, ascendent ainsi à quelque 5'202 fr. 25 par mois, étant précisé que ce montant est favorable à l’appelant puisqu’il comprend une somme de 1'000 fr. à titre d’impôts, alors même que l’appelant n’a produit aucune pièce justificative.</w:t>
      </w:r>
    </w:p>
    <w:p>
      <w:r>
        <w:rPr>
          <w:b/>
        </w:rPr>
        <w:t>E. 5.3.2</w:t>
      </w:r>
    </w:p>
    <w:p>
      <w:r>
        <w:t>En l’occurrence, l’appelant ne conteste pas que l’on se trouve dans une situation pouvant être qualifiée de favorable, résultant d’une part de ses revenus mais également des autres pièces produites (résidence secondaire en France, appartement de sept pièces avec terrasse et jardin [pièce 116], etc.). Conformément aux principes rappelés ci-dessus (cf. c. 5.1), il n’y a donc pas lieu de limiter les besoins de l’enfant uniquement au minimum vital prévu par le droit des poursuites. Dans ces</w:t>
      </w:r>
    </w:p>
    <w:p>
      <w:r>
        <w:t>- 34 - circonstances, la prise en compte d’un montant de base élargi pour l’intimé (1'020 fr.) ne prête pas le flanc à la critique, d’autant que la même somme a été retenue dans les charges de l’appelant.</w:t>
      </w:r>
    </w:p>
    <w:p>
      <w:r>
        <w:rPr>
          <w:b/>
        </w:rPr>
        <w:t>E. 5.3.3</w:t>
      </w:r>
    </w:p>
    <w:p>
      <w:r>
        <w:t>S’agissant du salaire d’apprenti de l’intimé, le premier juge a retenu les deux tiers de celui-ci, treizième salaire, forfait de perfectionnement et allocations de formation compris. Au regard du large pouvoir d’appréciation du juge en la matière, il n’y a pas lieu de s’écarter de l’imputation opérée par l’autorité de première instance. Le pourcentage du revenu pris en compte par le premier juge (deux tiers, soit 66,6 %) équivaut d’ailleurs pratiquement au pourcentage moyen résultant de l’arrêt 5C.106/2004 invoqué par l’appelant (50 % en première année, 60% en deuxième année et 100% en troisième année, soit 70% en moyenne). Comme l’a retenu le premier juge, le manco de l’intimé s’élève par conséquent à 828 fr. 10 en première année d’apprentissage, 692 fr. 70 en deuxième année, 489 fr. 75 en troisième année et 286 fr. 75 en quatrième année.</w:t>
      </w:r>
    </w:p>
    <w:p>
      <w:r>
        <w:rPr>
          <w:b/>
        </w:rPr>
        <w:t>E. 5.3.4</w:t>
      </w:r>
    </w:p>
    <w:p>
      <w:r>
        <w:t>S’agissant des revenus de l’appelant, le premier juge a considéré que le résultat de la société W.________Sàrl devait être ajouté au salaire que lui versait cette société, dès lors qu’il en était le seul associé gérant, avec signature individuelle, respectivement l’unique propriétaire. L’appelant ne remet pas en cause l’application du principe de la transparence mais fait valoir, en se référant aux comptes produits (pièce 103 et pièce 2 appel), qu’il n’aurait pas touché de dividende, dès lors que le bénéfice serait réinjecté dans l’exercice comptable suivant, respectivement utilisé pour combler les pertes (2012). Enfin, la comptabilité de l’entreprise présenterait une perte de 80'515 fr. 75 pour 2014. En l’espèce, indépendamment de la question de la valeur probante des pièces produites, celle de la question du cumul des éventuels bénéfices de W.________Sàrl et du salaire versé à l’appelant peut</w:t>
      </w:r>
    </w:p>
    <w:p>
      <w:r>
        <w:t>- 35 - rester indécise, dès lors que même si l’on tient compte uniquement de son salaire, soit 93'345 fr. en 2012 et 91'598 fr. en 2013, celui-ci est en mesure de s’acquitter de la pension fixée par les premiers juges. En effet, en tenant compte uniquement du salaire moyen de l’appelant pour la période litigieuse qui débute en juillet 2012 – soit 92'471 fr. 50 par an, ce qui correspond à un salaire mensuel net de 7'706 fr. (arrondi) –, son solde disponible est de 2'503 fr. 75 par mois (7'706 fr. - 5'202 fr. 25). Même après paiement de la pension la plus élevée, soit 1'100 fr. pour la période allant du 1er juillet 2012 au 31 juillet 2013, l’appelant dispose encore d’un solde de quelque 1'404 fr. dépassant la limite fixée par la jurisprudence (cf. c. 5.1.3 supra : montant de base + 20%, soit 1'020 fr.) et lui permettant de contribuer à l’entretien de son autre enfant majeur (C.________), qui est étudiant et qui vit sous le même toit que lui, dans une mesure semblable à celle de l’intimé, en application du principe de l’égalité de traitement. A cet égard et bien que les charges de C.________ n’aient pas été produites, il y a lieu de relever que la moitié des frais de ce dernier, allocations de formation déduites, doivent – à défaut de preuve du contraire – être prises en charge par l’épouse de l’appelant. Par ailleurs, l’appelant ne conteste pas que C.________ peut se constituer un petit pécule en travaillant durant les week-ends ou les vacances scolaires, comme retenu par le premier juge. La moitié des besoins de C.________, qui peuvent être estimés à un montant équivalent à celui retenu pour l’intimé (1'591 fr. 85 au total), peut donc largement être assumée par l’appelant après paiement de la pension en faveur de l’intimé.</w:t>
      </w:r>
    </w:p>
    <w:p>
      <w:r>
        <w:rPr>
          <w:b/>
        </w:rPr>
        <w:t>E. 6</w:t>
      </w:r>
    </w:p>
    <w:p>
      <w:r>
        <w:t>L’appelant considère enfin qu’en tout état de cause, l’intimé ne pourrait prétendre au versement d’une contribution d’entretien avant le mois d’août 2013, car il n’aurait presque rien entrepris pour trouver un emploi rémunéré entre sa majorité et la reprise de sa formation.</w:t>
      </w:r>
    </w:p>
    <w:p>
      <w:r>
        <w:rPr>
          <w:b/>
        </w:rPr>
        <w:t>E. 6.1</w:t>
      </w:r>
    </w:p>
    <w:p>
      <w:r>
        <w:t>Aux termes de l’art. 279 al. 1 CC, l’enfant peut agir contre son père et sa mère, ou contre les deux ensemble, afin de leur réclamer l’entretien pour l’avenir et pour l’année qui précède l’ouverture de l’action.</w:t>
      </w:r>
    </w:p>
    <w:p>
      <w:r>
        <w:t>- 36 - La rétroactivité prévue par cette disposition a pour but de privilégier l'enfant qui est obligé de faire valoir ses prétentions par la voie judiciaire, en lui laissant le temps de trouver un accord à l'amiable avec le débirentier sans subir de désavantage en cas d'échec des pourparlers (ATF 127 III 503 c. 3b/aa, JT 2002 I 441).</w:t>
      </w:r>
    </w:p>
    <w:p>
      <w:r>
        <w:rPr>
          <w:b/>
        </w:rPr>
        <w:t>E. 6.2</w:t>
      </w:r>
    </w:p>
    <w:p>
      <w:r>
        <w:t>En l’espèce, le droit de l’intimé à une contribution d’entretien dès sa majorité est établi (cf. c. 3.2.1 et 3.2.2 supra). L’appelant, qui considère que l’intimé était « à même de subvenir à ses besoins dès sa majorité jusqu’à la reprise de son apprentissage », semble faire valoir qu’un revenu hypothétique aurait dû être imputé à l’intimé pour la période concernée. Il n’apporte cependant aucun élément (type d’emploi, durée, salaire) susceptible d’établir que l’intimé, alors âgé de 17 ans et demi et venant d’échouer au gymnase, aurait concrètement pu exercer un emploi lui permettant d’assumer son propre entretien, étant précisé qu’à défaut de trouver tout de suite un apprentissage, ce dernier a effectué un stage linguistique de six mois entre septembre 2012 et mars 2013. En outre, il ressort du dossier que durant cette période de transition et de reconversion vers une filière professionnelle plus adaptée à ses aptitudes, l’intimé s’est soumis à de multiples tests et concours, en parallèle à ses démarches pour trouver un apprentissage. Il a également effectué plusieurs stages professionnels (cf. ch. 4 supra), avant d’entreprendre le séjour linguistique précité afin d’améliorer la langue couramment utilisée dans le milieu scientifique dans lequel il souhaitait travailler. Compte tenu de ces éléments, on ne saurait retenir que l’intimé n’aurait pas fait preuve de suffisamment de diligence pour poursuivre sa formation, ou, en d’autres termes, qu’il aurait pu et dû se concentrer sur la recherche d’un emploi rémunérateur durant cette période. La fréquence et le nombre des démarches entreprises par l’intimé ne permet pas non plus de retenir qu’il aurait été en mesure de subvenir lui-même à son propre entretien, même en partie, comme le prétend l’appelant sans l’établir.</w:t>
      </w:r>
    </w:p>
    <w:p>
      <w:r>
        <w:t>- 37 - Enfin, il y a lieu de relever que lorsque les parties ont repris contact après la majorité de l’intimé, durant l’été 2012, ce dernier a tenté de discuter, de manière informelle, d’une solution à l’amiable avec son père, par le biais de la prise en charge d’une partie des frais du séjour linguistique qu’il prévoyait d’effectuer. Cette démarche s’est soldée par un échec, l’appelant ayant alors cessé de répondre aux messages de son fils, précisément en raison de cette requête. Dans ces circonstances, on ne saurait reprocher à l’intimé, comme le fait l’appelant, de n’avoir jamais tenté de trouver un accord sur cette question avant de déposer une action judiciaire.</w:t>
      </w:r>
    </w:p>
    <w:p>
      <w:r>
        <w:rPr>
          <w:b/>
        </w:rPr>
        <w:t>E. 7</w:t>
      </w:r>
    </w:p>
    <w:p>
      <w:r>
        <w:t>Il résulte de ce qui précède que l’appel, manifestement infondé, doit être rejeté en application de l’art. 312 al. 1 CPC et le jugement entrepris confirmé. Les frais judiciaires de deuxième instance, arrêtés à 600 fr. (art. 63 al. 1 TFJC [Tarif des frais judiciaires civils du 28 septembre 2010, RSV 270.11.5], sont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