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JI12.033168 vom 20. März 2013</w:t>
      </w:r>
    </w:p>
    <w:p>
      <w:r>
        <w:t>VD Tribunal cantonal, 2013-03-20, FR</w:t>
      </w:r>
    </w:p>
    <w:p>
      <w:r>
        <w:rPr>
          <w:b/>
        </w:rPr>
        <w:t xml:space="preserve">Quelle: </w:t>
      </w:r>
      <w:r>
        <w:t>https://mcp.opencaselaw.ch/entscheid/vd_gerichte_JI12.033168</w:t>
      </w:r>
    </w:p>
    <w:p>
      <w:r>
        <w:t>FR: VD_GERICHTE JI12.033168 du 20 mars 2013</w:t>
      </w:r>
    </w:p>
    <w:p>
      <w:r>
        <w:t>IT: VD_GERICHTE JI12.033168 del 20 marzo 2013</w:t>
      </w:r>
    </w:p>
    <w:p>
      <w:pPr>
        <w:pStyle w:val="Heading2"/>
      </w:pPr>
      <w:r>
        <w:t>Erwägungen</w:t>
      </w:r>
    </w:p>
    <w:p>
      <w:r>
        <w:rPr>
          <w:b/>
        </w:rPr>
        <w:t>E. 3</w:t>
      </w:r>
    </w:p>
    <w:p>
      <w:r>
        <w:t>La cause présentant des éléments d'extranéité au moment où l'appel a été déposé, il y a lieu de déterminer à titre liminaire si les tribunaux suisses sont compétents et si la cause est régie par le droit suisse.</w:t>
      </w:r>
    </w:p>
    <w:p>
      <w:r>
        <w:t>- 7 - A teneur de l'art. 63 LDIP (loi fédérale du 18 décembre 1987 sur le droit international privé, RS 291), les tribunaux suisses sont compétents pour se prononcer sur les effets accessoires du divorce ou de la séparation de corps, s'ils le sont pour connaître de l'action en divorce. Tel est le cas si l'époux défendeur est domicilié en Suisse (art. 59 let. a LDIP) comme en l'espèce. Le droit applicable aux effets accessoires est celui applicable au divorce (art 63 al. 2 LDIP), les art. 82 et 83 LDIP relatifs aux effets de la filiation étant réservés. L'obligation alimentaire entre parents et enfant est ainsi régie par la Convention de La Haye du 2 octobre 1973 sur la loi applicable aux obligations alimentaires (ci-après ClaH 1973, RS 0.211.213.01; art. 83 al. 1 LDIP). Il en résulte que la loi interne de la résidence habituelle du créancier d'aliments régit les obligations alimentaires découlant de relations de parenté, indépendamment de toute condition de réciprocité (art. 3 et 4 ClaH 1973). La compétence des tribunaux et le droit applicable se déterminent en l'espèce au seul regard de l'art. 62 et 63 LDIP. La mère et l'enfant étant domiciliés en Suisse, les tribunaux suisses sont compétents pour connaître des mesures provisoires et le droit suisse est applicable.</w:t>
      </w:r>
    </w:p>
    <w:p>
      <w:r>
        <w:rPr>
          <w:b/>
        </w:rPr>
        <w:t>E. 4</w:t>
      </w:r>
    </w:p>
    <w:p>
      <w:r>
        <w:t>a) L'appelant conteste l'appréciation du premier juge s'agissant de ses revenus et de sa fortune. Il explique avoir trois enfants aux Etats-Unis pour lesquels il verse une contribution de 400 USD par enfant. Selon lui, il ne gagnerait que 42'000 USD par an et n'a jamais perçu de loyer pour la location de son chalet de [...]. Ses affaires vont mal. Quant à la pièce de la banque X.________, il s'agit d'une déclaration d'hypothèque et non pas de sa fortune. b) Selon l'article 285 al. 1 CC (Code civil suisse du 10 décembre 1907, RS 210),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(al. 1). Ces différents critères doivent être</w:t>
      </w:r>
    </w:p>
    <w:p>
      <w:r>
        <w:t>- 8 -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III 110 c. 3a, JT 1993 I 162; TF 5A_159/2009 du 16 octobre 2009 c. 4.1).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CC). La contribution d'entretien doit être versée d'avance, aux époques fixées par le juge (al. 3).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 du revenu mensuel net du débirentier si ce dernier a un enfant en bas âge, 25 à 27 % lorsqu'il y en a deux, 30 à 35 % lorsqu'il y en a trois et 40 % lorsqu'il y en a quatre (Bastons Bulletti, L'entretien après divorce : méthodes de calcul, montant, durée et limites, in SJ 2007 II 77 ss, spéc. p. 107 s.; RSJ 1984 p. 392 n° 4 et note p. 393; Meier/Stettler, Droit de la filiation, 4e éd., Zurich 2009, n. 978, pp. 567-568; TF 5A_84/2007 du 18 septembre 2007 c. 5.1). Il s'agit là d'un taux approximatif qui doit être pondéré au vu des circonstances, selon l'équité (ATF 107 II 406 c. 2c; RSJ 1984 p. 392 n° 4 précité; Meier/Stettler, ibidem). Ces critères sont applicables à tous les enfants mineurs, indépendamment de l'état civil de leurs parents (mariés ou non, séparés ou divorcés; cf. CREC lI 15 novembre 2010/234). Le Tribunal fédéral a admis la méthode dite "des pourcentages" pour autant que la pension reste en rapport avec le niveau de vie et la capacité contributive du débiteur (TF 5A_178/2008 du 23 avril 2008 c. 3.3; TF 5A_84/2007 du 18 septembre 2007 c. 5.1 et les réf.cit.).</w:t>
      </w:r>
    </w:p>
    <w:p>
      <w:r>
        <w:t>- 9 - Le jugement peut prévoir que la contribution sera augmentée ou réduite dès que des changements déterminés interviendront dans les besoins de l'enfant, les ressources des parents ou le coût de la vie (art. 286 al. 1 CC). Dans la pratique, l'on rencontre avant tout l'échelonnement des contributions (allant en s'accroissant) en fonction de l'âge des enfants; les seuils sont généralement fixés à six ans (âge d'entrée en scolarité obligatoire), dix ou douze ans (passage en scolarité de niveau secondaire) et seize ans (fin de la scolarité obligatoire) (CACI 19 janvier 2012/38 c. 3b/aa et 3c; CREC II 22 octobre 2007/207 c. 5 et réf. citées). Il n'y a cependant pas de règle uniforme pour la fixation de ces âges paliers, ni pour leur nombre, le juge devant tenir compte de toutes les circonstances de chaque cas particulier (art. 4 CC; CACI 26 janvier 2012/48, qui mentionne qu'ont aussi été admis des paliers à cinq ou sept, douze et quinze ans).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Il n'est pas admissible d'imputer un revenu hypothétique sur ce que le crédirentier tirerait de la mise en location de sa résidence de vacances située à l'étranger en exigeant qu'il ne l'utilise plus pour ses propres vacances (TF 5A_57/2007 du 16 août 2007; CACI 20 décembre 2011/414 c. 4.4.2). Des solutions plus nuancées peuvent être retenues, ainsi il a été jugé qu'on ne peut contraindre l'époux à louer à l'année une résidence secondaire en station, en renonçant complètement à l'occuper à titre secondaire, mais on peut admettre qu'il est en mesure de la louer de</w:t>
      </w:r>
    </w:p>
    <w:p>
      <w:r>
        <w:t>- 10 - temps en temps et retenir un revenu hypothétique de ce chef (CREC II du</w:t>
      </w:r>
    </w:p>
    <w:p>
      <w:r>
        <w:rPr>
          <w:b/>
        </w:rPr>
        <w:t>E. 6</w:t>
      </w:r>
    </w:p>
    <w:p>
      <w:r>
        <w:t>janvier 2011/4 c. 4 c) bb)). c) En l'espèce, il est exact que le premier juge n'aurait pas dû retenir que l'appelant disposait d'un capital de 1'156'000 fr. auprès de la banque X.________. Selon l'extrait de compte, l'appelant a contracté une dette hypothécaire auprès de cet établissement à concurrence du montant précité et cette pièce n'est rien d'autre qu'un décompte des intérêts qui sont dus. Cela étant, il ressort des pièces produites par l'appelant lui- même en première instance que celui-ci a réalisé un revenu imposable de 140'137 USD en 2011, lequel comprend le revenu de son activité indépendante et les contributions IRA. L'appelant estime que son revenu en 2012 ne sera pas supérieur à 40'000 USD sans produire de documents à même de rendre vraisemblable une pareille diminution. En outre, il est propriétaire d'une résidence secondaire qu'il a mise en location au prix de 20'000 fr. pour deux semaines. Même si ces tarifs ne peuvent être appliqués que pendant la haute saison, l'appelant devrait pouvoir réaliser un produit de location de 80'000 fr. à tout le moins sur une année, ce qui représente deux mois de location. L'appelant soutient à cet égard qu'il ne réalise aucun bénéfice de par la location de ce chalet dont les charges sont importantes. Cela étant, il convient de lui imputer, à titre hypothétique, le revenu qu'il serait en mesure de réaliser, soit 80'000 fr. sous déduction des charges annuelles de 46'000 USD, ce qui équivaut à un revenu net de 37'000 francs. L'appelant soutient encore qu'il a quatre enfants à charge et qu'il s'acquitte de trois contributions d'entretien de 400 USD chacune aux Etats-Unis. Or selon sa déclaration fiscale de 2011, seules deux enfants sont encore à charge ("dependents"), soit [...] et J.________. Rien n'indique que l'enfant [...] soit aujourd'hui encore mineure, ce qui n'est du reste pas allégué. Par ailleurs, le Juge suisse n'est pas lié par le montant des contributions des enfants qui a été convenu ou fixé judiciairement sur le territoire américain, sous peine de ne pas pouvoir appliquer le droit suisse au cas d'espèce. Il n'est dès lors pas possible, en l'espèce, de tenir compte des enfants qui sont issus d'un premier lit.</w:t>
      </w:r>
    </w:p>
    <w:p>
      <w:r>
        <w:t>- 11 - En conclusion, si l'on retient que l'appelant est en mesure, au stade de la vraisemblance, de réaliser un revenu annuel imposable de l'ordre de 140'000 USD, soit environ 130'000 fr., auxquels il convient d'ajouter le produit net de la location du chalet de [...], par 37'000 fr., on parvient à un total de 167'000 fr. soit 13'916 fr. mensuels. Les 2'000 fr. requis par l'intimée représentent 14,37 % du revenu de l'appelant, ce qui est conforme aux principes exposés ci-dessus. Au demeurant, il sied de relever qu'il ressort de l'accord prénuptial passé entre les parties que l'appelant disposait alors d'une fortune mobilière et immobilière totale de 2'850'327 USD ("prenuptial agreement, exhibit A") si bien que le paiement de la contribution litigieuse, à titre provisionnel, n'est pas à même de le mettre dans une situation critique. La pension de 2'000 fr. à laquelle prétend l'intimée apparaît dès lors adéquate et les moyens soulevés par l'appelant sont mal fondés. 5. Au vu de ce qui précède, l'appel doit être rejeté dans la procédure de l'art. 312 al. 1 CPC et l'ordonnance entreprise confirmée. Les frais judiciaires de deuxième instance, arrêtés à 1200 fr. (art. 63 al. 2 TFJC [tarif des frais judiciaires civils du 28 septembre 2010, RSV 270.11.5]), seront mis à la charge de l'appelant qui succombe (art. 106 al. 1 CPC). L'intimée n'ayant pas été invitée à se déterminer, il n'y a pas lieu de lui allouer des dépens de deuxième instance.</w:t>
      </w:r>
    </w:p>
    <w:p>
      <w:r>
        <w:t>- 12 - Par ces motifs, la Juge déléguée de la Cour d'appel civile du Tribunal cantonal, statuant à huis clos, en application de l'art. 312 al. 1 CPC, prononce : I. L'appel est rejeté. II. L'ordonnance est confirmée. III. Les frais judiciaires de deuxième instance, arrêtés à 1'200 fr. (mille deux cents francs), sont mis à la charge de B.H.________. IV. L'arrêt motivé est exécutoire. La juge déléguée : La greffière : Du 21 mars 2013 Le dispositif de l'arrêt qui précède est communiqué par écrit aux intéressés. La greffière : Du L'arrêt qui précède, dont la rédaction a été approuvée à huis clos, est notifié en expédition complète, par l'envoi de photocopies, à : - Me Sandra Genier Müller, avocate (pour E.H.________), - M. B.H.________.</w:t>
      </w:r>
    </w:p>
    <w:p>
      <w:r>
        <w:t>- 13 -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