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JI08.015687 vom 11. Dezember 2009</w:t>
      </w:r>
    </w:p>
    <w:p>
      <w:r>
        <w:t>VD Tribunal cantonal, 2009-12-11, FR</w:t>
      </w:r>
    </w:p>
    <w:p>
      <w:r>
        <w:rPr>
          <w:b/>
        </w:rPr>
        <w:t xml:space="preserve">Quelle: </w:t>
      </w:r>
      <w:r>
        <w:t>https://mcp.opencaselaw.ch/entscheid/vd_gerichte_JI08.015687</w:t>
      </w:r>
    </w:p>
    <w:p>
      <w:r>
        <w:t>FR: VD_GERICHTE JI08.015687 du 11 décembre 2009</w:t>
      </w:r>
    </w:p>
    <w:p>
      <w:r>
        <w:t>IT: VD_GERICHTE JI08.015687 del 11 dicembre 2009</w:t>
      </w:r>
    </w:p>
    <w:p>
      <w:pPr>
        <w:pStyle w:val="Heading2"/>
      </w:pPr>
      <w:r>
        <w:t>Erwägungen</w:t>
      </w:r>
    </w:p>
    <w:p>
      <w:r>
        <w:rPr>
          <w:b/>
        </w:rPr>
        <w:t>E. 4</w:t>
      </w:r>
    </w:p>
    <w:p>
      <w:r>
        <w:t>a) Selon l'art. 730 al. 2 CC, une obligation de faire peut être constituée, à titre accessoire, en relation avec une servitude foncière.</w:t>
      </w:r>
    </w:p>
    <w:p>
      <w:r>
        <w:t>- 9 - Cette règle permet ainsi aux parties de prévoir, sans avoir à constituer de charge foncière, que le propriétaire du fonds servant doit faciliter ou assurer l'exercice de la servitude par des prestations positives, généralement liées à l'entretien des ouvrages ou installations nécessaires à l'exercice du droit (Steinauer, Les droits réels, tome II, 3ème éd., 2002, n. 2219 et les références citées; Liver, Zürcher Kommentar, 2ème éd., 1980, n. 202 ss et 212 ss ad art. 730 CC). L'obligation est accessoire si, par son contenu, elle est destinée à permettre, faciliter ou assurer l'exercice de la servitude et si, par son étendue, elle ne représente pas pour le propriétaire du fonds servant une charge plus lourde que la servitude elle-même (ATF 106 II 315 c. 2e; Liver, op. cit., n. 202 ss ad art. 730 CC). L'art. 741 al. 1 CC prévoit quant à lui que l'entretien des ouvrages nécessaires à l'exercice de la servitude appartient au propriétaire du fonds dominant, la même règle valant pour les frais de construction de ces installations, au moins lorsque celles-ci servent exclusivement à l'exercice de la servitude (Steinauer, op. cit., n. 2283; Liver, op. cit., n. 28 ad art. 741 CC). Les règles de l'art. 741 al. 1 CC n'étant pas de droit impératif, les parties peuvent y déroger, soit par exemple en prévoyant une obligation supplémentaire du propriétaire du fonds dominant d'entretenir les ouvrages nécessaires à l'exercice de la servitude, c'est-à-dire une obligation allant au-delà de ce à quoi l'oblige l'art. 741 al. 1 CC (Henri Deschenaux, Le registre foncier, in: Traité de droit privé suisse, vol. V, t. II, 2, 1983, p. 558, note 3; Liver, op. cit., n. 67 ss ad art. 741 CC; Hans Leemann, Zürcher Kommentar, 1925, n. 2 ad art. 741 CC), soit encore en établissant que la charge de l'entretien incombera exclusivement au propriétaire du fonds servant (Steinauer, op. cit., n. 2285; Liver, op. cit., n. 67 ad art. 741 CC; Leemann, op. cit., n. 2 ad art. 741 CC). Tant l'obligation accessoire que les devoirs liés à la charge d'entretien constituent des obligations rattachées propter rem au droit de servitude lorsqu'ils sont signalés dans l'inscription au registre foncier (ATF 124 III 289 c. 1c, JT 1999 I 170; Steinauer, op. cit., n. 2220b; 2283a et</w:t>
      </w:r>
    </w:p>
    <w:p>
      <w:r>
        <w:t>- 10 - 2285a; Rey, Berner Kommentar, n. 155 ss ad art. 730 CC; Liver, op. cit., n. 230 ad art. 730 et 73 ss ad art. 741 CC; Deschenaux, op. cit., p. 558, note 3; Etienne Petitpierre, in Basler Kommentar, 3ème éd., 2007, n. 16 ad art. 741 CC). Sous ces deux seules réserves, il n'est cependant pas possible d'intégrer à la servitude foncière elle-même une prestation positive à la charge du propriétaire du fonds servant, respectivement du fonds dominant. Les obligations convenues par les parties dans le cadre de la constitution de la servitude qui n'entrent pas dans la définition de l'obligation accessoire (art. 730 al. 2 CC) ou de la charge d'entretien (art. 741 CC) doivent par conséquent être considérées comme des obligations de nature personnelle, qui ne lient que les parties au contrat. b) Aux termes de l'art. 971 CC, tout droit dont la constitution est légalement subordonnée à une inscription au registre foncier, n'existe comme droit réel que si cette inscription a eu lieu (al. 1). L'étendue d'un droit peut être précisée, dans les limites de l'inscription, par les pièces justificatives ou de toute autre manière (al. 2). Lex specialis en matière de servitudes, l'art. 738 CC reprend cette dernière disposition en prévoyant que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(ATF 130 III 554 c. 3.1; 121 III 52 c. 2a; TF 5C.126/2004 du 21 octobre 2004 c. 2.3 in RNRF 2005 307; Steinauer, op. cit., n. 2294).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w:t>
      </w:r>
    </w:p>
    <w:p>
      <w:r>
        <w:t>- 11 - paisiblement et de bonne foi (art. 738 al. 2 CC; sur tous ces points : TF 5A_229/2010 du 7 juillet 2010 c. 4.1 et 4.2). Pour définir le contenu d'une servitude, il est certes possible de se reporter à la pièce justificative ou à la manière dont elle est exercée; mais le contenu du droit ne peut être démontré que "dans les limites de l'inscription" (art. 738 al. 2 et 971 al. 2 CC); il n'est donc pas possible de se reporter à une pièce justificative pour suppléer le contenu d'une servitude que l'inscription au registre foncier ne précise en aucune façon, en particulier de se référer à l'acte juridique de base (ATF 124 III 293, JT 1999 I 174 c. 2b).</w:t>
      </w:r>
    </w:p>
    <w:p>
      <w:r>
        <w:rPr>
          <w:b/>
        </w:rPr>
        <w:t>E. 5</w:t>
      </w:r>
    </w:p>
    <w:p>
      <w:r>
        <w:t>Les recourants font valoir que la servitude litigieuse ne leur est d’aucune utilité s’agissant des canalisations, ce qui est exact. Comme l’a exposé en effet le notaire [...], le bâtiment des recourants est raccordé non pas sur les canalisations du chemin [...] mais sur celles du chemin [...] (jgt, p. 4). Les intimés ne peuvent au surplus pas tirer argument de ce que les recourants utiliseraient le chemin [...] pour accéder à leur parcelle. Ce n’est pas la surface du chemin dont la réfection a été envisagée mais un objet distinct, à savoir les canalisations, que celles-ci concernent les eaux claires ou les eaux usées. Si la municipalité s’est plainte de ce que, lors de fortes pluies, des cailloux et du limon se déversaient sur le trottoir et sur la route en aval, cet état de choses n’était pas préexistant, comme on le voit sur les photographies produites par les intimés, mais résultait des travaux entrepris et non achevés. En revanche, les recourants étaient intéressés à une mise en conformité de l’écoulement des eaux claires de surface dans une grille puis dans un collecteur d’eaux claires, en qualité de propriétaires d’une parcelle fond servant et dominant d’une servitude de passage. Comme les intimés l’allèguent en deuxième instance (mémoire, p. 4), les recourants se seraient acquittés d’un montant de 1'895 francs 40 figurant sur un</w:t>
      </w:r>
    </w:p>
    <w:p>
      <w:r>
        <w:t>- 12 - tableau de répartition des frais entre propriétaires. Ce montant est celui qui figure en annotation manuscrite sur un tel tableau relatif à des frais pour la réalisation d’une « chambre EC sur le collecteur existant » et la « mise en conformité des grilles de route ». On sait d’ailleurs que les recourants se sont déclarés disposés à participer à de tels frais à l’exclusion de ceux qui concernent la canalisation d’eaux usées (cf. leur lettre du 5 juillet 2007). Il faut ainsi admettre qu’ils se sont acquittés de leur obligation relative à ce volet particulier des travaux projetés. Les intimés, qui soutiennent que l’entier des travaux incombe aux recourants en proportion de la valeur d’assurance incendie de leur immeuble, n’établissent en tous les cas pas que les recourants devraient encore un solde relatif aux seuls travaux de mise en conformité de l’écoulement des eaux claires de surface.</w:t>
      </w:r>
    </w:p>
    <w:p>
      <w:r>
        <w:rPr>
          <w:b/>
        </w:rPr>
        <w:t>E. 6</w:t>
      </w:r>
    </w:p>
    <w:p>
      <w:r>
        <w:t>Cela étant, les recourants se voient réclamer des frais de réfection de canalisations dont ils n’ont pas l’usage. Or, les frais d’entretien des ouvrages nécessaires à l’exercice d’une servitude incombent aux propriétaires du fonds dominant (art. 740 al. 1 CC), cela en proportion de leur intérêt à leur utilisation (Etienne Petitpierre, op. cit., n. 14 ad art. 741 CC). Si ces ouvrages sont également utiles au propriétaire grevé, celui-ci est aussi tenu en proportion de son intérêt (art. 741 al. 2 CC). A défaut d’un tel intérêt, que ce soit en qualité de propriétaires du fonds servant ou dominant de la servitude, les recourants ne peuvent pas être tenus à une participation aux frais d’entretien de canalisations. Il est vrai que la règle de l’entretien en proportion de l’intérêt à l’usage ne vaut qu’à défaut de convention (Petitpierre, op. cit., ibidem) et qu’en l’espèce, il a été prévu lors de la constitution de la servitude une répartition des frais en proportion de la valeur d’assurance-incendie des bâtiments des fonds concernés. Mais, si cet arrangement figure dans un document intitulé « Réquisition pour le registre foncier », rédigé en 1953 (pièce 57 produite par les défendeurs), il n’est pas établi que l’inscription au registre foncier en fasse elle-même état. Il ressort au contraire de l’avis de droit produit par les intimés que l’extrait du registre foncier indique</w:t>
      </w:r>
    </w:p>
    <w:p>
      <w:r>
        <w:t>- 13 - l’existence d’une servitude mais non pas d’un accord relatif aux frais d’entretien (pièce 26 des demandeurs, p. 5). Or, cet accord n’est pas opposable aux tiers, ici aux recourants qui ont acquis leur immeuble quelque 50 années plus tard, si elle n’est pas signalée au registre foncier, ne serait-ce que par un renvoi particulier à une pièce justificative (ATF 124 III 289, JT 1999 I 170 précité). Peu importe au surplus que, comme on le lit en page 4 du jugement, les recourants aient participé à deux reprises à une « séance décisionnelle », au cours de laquelle il a été question de travaux de réfection de canalisations et de la prise en charge de leur coût. S’ils ont alors signé un document, il ne s’agissait que d’une liste de présence et non pas d’un procès-verbal relatant des décisions prises. Aucune obligation n’a alors été contractée. C’est ultérieurement qu’un « tableau de répartition des frais » et un « protocole d’engagement », correspondant à un contrat avec une entreprise de génie civil, a été soumis à la signature des riverains du chemin [...] mais les recourants ont alors refusé de donner leur accord (jgt, p. 5). Au vu de ce qui précède, aucune charge d’entretien au sens de l’art. 741 CC n’incombe aux recourants. Les intimés ne pouvaient dès lors pas leur réclamer une participation à des frais de réfection. Aucun contrat d’entreprise n’a au surplus été conclu par les recourants, de sorte que l’entrepreneur choisi par les intimés ne disposait d’aucune créance à leur céder à l’encontre des recourants. Enfin, si les intimés ont engagé les frais d’un avis de droit, rien ne justifie de les mettre à la charge des recourants.</w:t>
      </w:r>
    </w:p>
    <w:p>
      <w:r>
        <w:rPr>
          <w:b/>
        </w:rPr>
        <w:t>E. 7</w:t>
      </w:r>
    </w:p>
    <w:p>
      <w:r>
        <w:t>En définitive, le recours doit être admis et le dispositif du jugement réformé en ce sens que l'action des demandeurs est rejetée (I) et que les demandeurs, débiteurs solidaires, doivent verser aux défendeurs, créanciers solidaires, la somme de 2'750 fr. à titre de dépens (V), le chiffre II étant supprimé. Le jugement est confirmé pour le surplus.</w:t>
      </w:r>
    </w:p>
    <w:p>
      <w:r>
        <w:t>- 14 - Les frais de deuxième instance des recourants sont arrêtés à 350 fr. (art. 230 TFJC; tarif des frais judiciaires en matière civile du 4 décembre 1984; RSV 270.11.5). Les intimés, débiteurs solidaires, doivent verser aux recourants, créanciers solidaires, la somme de 750 fr. à titre de dépens de deuxième instance. Par ces motifs, la Chambre des recours du Tribunal cantonal, statuant en audience publique, prononce : I. Le recours est admis. II. Le jugement est réformé comme il suit aux chiffres I, II et V de son dispositif : I.- L'action des demandeurs est rejetée. II.- Supprimé. V.- Les demandeurs Y.________, W.________, A.H.________, B.H.________, B.________, A.X.________, B.X.________, T.________, A.C.________, B.C.________, J.________, A.Q.________, B.Q.________, O.________, P.________ et Société coopérative d'habitation S.________, débiteurs solidaires, doivent verser aux défendeurs A.D.________ et B.D.________, créanciers solidaires, la somme de 2'750 fr. (deux mille sept cent cinquante francs) à titre de dépens. Le jugement est confirmé pour le surplus. III. Les frais de deuxième instance des recourants sont arrêtés à 350 fr. (trois cent cinquante francs).</w:t>
      </w:r>
    </w:p>
    <w:p>
      <w:r>
        <w:t>- 15 - IV. Les intimés Y.________, W.________, A.H.________, B.H.________, B.________, A.X.________, B.X.________, T.________, A.C.________, B.C.________, J.________, A.Q.________, B.Q.________, O.________, P.________ et Société coopérative d'habitation S.________, débiteurs solidaires, doivent verser aux recourants A.D.________ et B.D.________, créanciers solidaires, la somme de 750 fr. (sept cent cinquante francs) à titre de dépens de deuxième instance. V. L'arrêt motivé est exécutoire. Le président : Le greffier : Du 8 septembre 2010 Le dispositif de l'arrêt qui précède est communiqué par écrit aux intéressés. Le greffier :</w:t>
      </w:r>
    </w:p>
    <w:p>
      <w:r>
        <w:t>- 16 - Du L'arrêt qui précède, dont la rédaction a été approuvée à huis clos, est notifié en expédition complète, par l'envoi de photocopies à : - M. Jean-Daniel Nicaty, aab (pour A.D.________ et B.D.________), - M. Pascal Stouder, aab (pour Y.________, W.________, A.H.________, B.H.________, B.________, A.X.________, B.X.________, T.________, A.C.________, B.C.________, J.________, A.Q.________, B.Q.________, O.________, P.________ et Société coopérative d'habitation S.________). La Chambre des recours considère que la valeur litigieuse est de 7'999 francs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