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JI08.002923 vom 14. April 2009</w:t>
      </w:r>
    </w:p>
    <w:p>
      <w:r>
        <w:t>VD Tribunal cantonal, 2009-04-14, FR</w:t>
      </w:r>
    </w:p>
    <w:p>
      <w:r>
        <w:rPr>
          <w:b/>
        </w:rPr>
        <w:t xml:space="preserve">Quelle: </w:t>
      </w:r>
      <w:r>
        <w:t>https://mcp.opencaselaw.ch/entscheid/vd_gerichte_JI08.002923</w:t>
      </w:r>
    </w:p>
    <w:p>
      <w:r>
        <w:t>FR: VD_GERICHTE JI08.002923 du 14 avril 2009</w:t>
      </w:r>
    </w:p>
    <w:p>
      <w:r>
        <w:t>IT: VD_GERICHTE JI08.002923 del 14 aprile 2009</w:t>
      </w:r>
    </w:p>
    <w:p>
      <w:pPr>
        <w:pStyle w:val="Heading2"/>
      </w:pPr>
      <w:r>
        <w:t>Erwägungen</w:t>
      </w:r>
    </w:p>
    <w:p>
      <w:r>
        <w:rPr>
          <w:b/>
        </w:rPr>
        <w:t>E. 1</w:t>
      </w:r>
    </w:p>
    <w:p>
      <w:r>
        <w:t>Les art. 444, 447 et 451 ch. 4 CPC ouvrent la voie des recours en nullité et en réforme contre un jugement principal rendu par un juge de paix. Interjeté en temps utile (art. 458 CPC), par une partie qui y a intérêt, le recours, exclusivement en réforme, est recevable.</w:t>
      </w:r>
    </w:p>
    <w:p>
      <w:r>
        <w:t>- 7 -</w:t>
      </w:r>
    </w:p>
    <w:p>
      <w:r>
        <w:rPr>
          <w:b/>
        </w:rPr>
        <w:t>E. 2</w:t>
      </w:r>
    </w:p>
    <w:p>
      <w:r>
        <w:t>téléphones, aucune réponse de leur part. Je crois avoir à faire avec de véritables bracaillons. Par conséquent je vous intime l’ordre de venir récupérer tous vos appareils chez moi, car j’en ai vraiment marre des amateurs". - Par courriel du 19 juillet 2007, O.________ a informé le recourant qu’il effectuerait "une dernière tentative" en ce qui concerne une "réception satellite" et la réactivation d’une carte.</w:t>
      </w:r>
    </w:p>
    <w:p>
      <w:r>
        <w:t>- 8 - - Par courriel du 24 septembre 2007, le recourant a déclaré à O.________ que tous les programmes étaient codés et inaccessibles, qu’il s’était adressé à un tiers spécialiste et qu’il attendait "toujours" que l’intimé vienne "récupérer son matériel défectueux et ses cartes inutilisables".</w:t>
      </w:r>
    </w:p>
    <w:p>
      <w:r>
        <w:rPr>
          <w:b/>
        </w:rPr>
        <w:t>E. 3</w:t>
      </w:r>
    </w:p>
    <w:p>
      <w:r>
        <w:t>a) Le premier juge a considéré que les parties avaient passé "principalement" un contrat d’entreprise et que leurs rapports présentaient également quelques caractéristiques du contrat de vente. Selon le CO (Code des obligations du 30 mars 1911; RS 220), le vendeur s’oblige à livrer la chose vendue (art. 184 al. 1 CO), tandis que l’entrepreneur s’oblige à exécuter un ouvrage (art. 363 CO). En l’espèce, si le recourant a commandé à l’intimé une antenne satellite et un récepteur, la pose et l’installation de ceux-ci n’ont constitué que les modalités d’exécution de la vente du matériel, celui-ci présentant une importance déterminante, de sorte qu’on ne peut pas considérer qu’un ouvrage a été accompli (Tercier/Favre/B. Carron, Les contrats spéciaux, 4ème éd., 2009, n. 4245, p. 637). Le même raisonnement a été suivi par le Tribunal fédéral dans le cas d’un contrat portant sur la livraison d’un système informatique "clés en mains" comprenant le matériel, un système d’exploitation et une banque de données, eu égard au fait qu’il s’était agi de la fourniture d’une prestation en une fois et non pas de l’accomplissement d’obligations dans une certaine durée (ATF 124 III 456 = JT 2000 I 172). b) Il s'ensuit que les règles sur la garantie des défauts dans la vente sont applicables en l'espèce. Selon l’art. 205 al. 1 CO, l’acheteur a le choix entre l’action rédhibitoire ou l’action en réduction de prix. Mais un droit à la réparation de la chose n’est pas à sa disposition (ATF 91 II 344 c. 2 = JT 1966 I 530; Venturi, in Commentaire Romand, Code des obligations I, n. 27 ad art. 205 CO, p. 1096; Tercier/Favre/Zen-Ruffinen, Les contrats spéciaux, 4ème éd., 2009, n. 824, p. 122), étant toutefois relevé que certains auteurs proposent de lui accorder ce droit par application analogique de l’art. 368 aI. 2 CO réglant l’action en garantie dans le contrat d’entreprise (Tercier/Favre/Zen-Ruffinen, op. cit., n. 826 et les</w:t>
      </w:r>
    </w:p>
    <w:p>
      <w:r>
        <w:t>- 9 - renvois, p. 122) ou en vertu des art. 2 CC (Code civil suisse du 10 décembre 1907; RS 210) ou 97 CO (Honsell, in Basler Kommentar, 4ème éd., n. 5 ad art. 205 CO et les renvois, p. 1174). C’est souvent par convention que les parties au contrat de vente prévoient de remplacer la garantie légale par une garantie de réparation ou de remise en état (Tercier/Favre/Zen-Ruffinen, op. cit., n. 916 et les renvois, p. 135). En l’espèce, les parties n’ont pas passé de convention préalable prévoyant une réparation du matériel vendu. Lorsque le recourant a constaté que son installation ne fonctionnait pas, il est convenu avec l’intimé que celui-ci ferait le nécessaire pour une remise en fonction. Il a ainsi été dérogé à la réglementation légale, sinon en supprimant les droits prévus à l’art. 205 al. 1 CO, en tous les cas en conférant à l’acheteur un droit à la réparation. Ce n’est pas pour autant qu’un contrat d’entreprise a été conclu, portant sur la réparation (ATF 124 III 456 c. 4b/bb) : d’ailleurs, aucune rémunération n’a été convenue pour cette prestation. Plutôt que d’intervenir lui-même, l’intimé a fait effectuer un contrôle de l’installation et des appareils par un tiers, à savoir la société société O.________ (cf. jugement, p. 3). Celle-ci n’est cependant pas parvenue à procurer un fonctionnement adéquat au recourant, malgré ce qu’elle lui écrira le 13 septembre 2007 (cf. jugement, p. 3). Cela se déduit des faits conjugués que le recourant a déclaré à l’intimé par lettre du 5 juillet 2007 que l’intervention de la société société O.________ n’avait pas rétabli un fonctionnement adéquat, qu’il a déclaré à cette société par courriel du 24 septembre 2007 que tous les programmes étaient codés et inaccessibles et qu’il s’adresserait à un autre fournisseur pour disposer d’une nouvelle installation et qu’à dire d’expert, il était nécessaire pour supprimer la panne de procéder à une mise à jour et à un réglage du récepteur vendu par l’intimé. Par cette correspondance du 5 juillet 2007, le recourant a sommé l’intimé de venir reprendre ses appareils, exprimant ainsi la volonté de rompre le contrat en exerçant l’action rédhibitoire.</w:t>
      </w:r>
    </w:p>
    <w:p>
      <w:r>
        <w:t>- 10 - Dès lors, il convient d'examiner si la convention de réparation avait fait perdre au recourant le droit de résoudre le contrat ou de réduire le prix. c) Tant dans le contrat de vente que dans le contrat d’entreprise, le choix exprimé par celui qui se plaint de défauts le lie définitivement (Honsell, op. cit., n. 3 ad art. 205 CO, p. 1173; Tercier/Favre/Zen-Ruffinen, op. cit., n. 829, p. 122). Cette règle vaut pour les droits d’option légaux : l’acheteur qui a opté pour la rédhibition ne peut plus demander une réduction de prix, pas davantage que le maître qui a demandé la réparation. Dans cette dernière hypothèse, il faut toutefois réserver les cas dans lesquels la réparation est effectuée de manière défectueuse (ATF 109 lI 40 en matière de contrat d’entreprise) ou se révèle impossible (Tercier/ Favre/Zen-Ruffinen, op. cit., n. 916, p. 135, qui citent I’ATF 124 III 456, dans lequel il s’agissait d’une vente avec convention de réparation, le vendeur étant en mesure de réparer, ce qui excluait une rédhibition). En l’espèce, alors qu’il ne disposait que de l’action rédhibitoire ou de l’action minutoire, le recourant a choisi une troisième voie, celle de la réparation. Cette dernière excluait les deux autres, en ce sens que le recourant ne pouvait pas changer d’avis en cours de réparation et devait laisser s’achever celle-ci. Mais lorsqu’il s’est avéré que le vendeur ne parvenait pas à effectuer une réparation avec succès, les parties se sont retrouvées dans la situation où un acheteur se plaint d’un défaut, en l'occurrence l’absence de réception de chaînes de télévision, qui ôte toute utilité à la chose vendue, de sorte que l’action rédhibitoire pouvait être exercée. d) Lorsque l’acheteur a intenté l’action rédhibitoire, le juge peut se borner à réduire le prix s’il estime que la résiliation n’est pas justifiée par les circonstances (art. 205 al. 2 CO). Lorsqu’on peut exiger de l’acheteur le maintien du contrat et que les intérêts du vendeur s’opposent à la résolution du contrat, il faut simplement admettre l’action minutoire (ATF 124 III 456 c. 4d, SJ 1999, p. 212; Henzen, Die Relativierung</w:t>
      </w:r>
    </w:p>
    <w:p>
      <w:r>
        <w:t>- 11 - des Wandelungsanspruchs des Käufers durch den Vorbehalt des richterlichen Ermessens gemäss OR 205/II, thèse Berne 1990, pp. 55 ss; contra Wiegand, Die privatrechtliche Rechtsprechung des Bundesgerichts im Jahre 1998, pp. 571 et 572). Ce ne sera cependant pas le cas lorsque la chose vendue est inutilisable ou que le défaut dont elle est affectée ne peut être que partiellement éliminé malgré des frais de réparation élevés (Honsell, op. cit., n. 6 ad art. 205 CO, p. 1174). En l’espèce, il est établi par expertise que le dysfonctionnement des appareils vendus aurait pu être supprimé par un réglage en atelier dont le coût se serait élevé à 240 francs. Le premier juge pouvait dès lors imposer le maintien du contrat au recourant. Il est vrai que celui-ci ignorait la circonstance qu’une réparation était possible, puisqu’elle n’a été révélée que par l’expert, et qu'il avait des raisons de penser que le matériel vendu était inutilisable, puisque le vendeur n’était pas parvenu à le faire fonctionner à satisfaction. Cette disposition d’esprit de l'acheteur n'ôte cependant rien au fait qu’un réglage était possible à un coût réduit et que l’objet du contrat n’était dès lors pas inutilisable, ce qui justifie l’application de l’art. 205 al. 2 CO. En résiliant la vente, l’acheteur court le risque de se voir appliquer cette disposition. Tel est ainsi le cas dans I’ATF 124 III 456, où, bien que le vendeur ait tenté durant plusieurs mois de réparer un système informatique sans succès, l’action rédhibitoire de l’acheteur n’a pas été confirmée parce qu’il était possible de faire fonctionner ce système. e) Selon la jurisprudence du Tribunal fédéral, la réduction doit être calculée selon la méthode relative, en application de laquelle le prix est réduit proportionnellement à la moins-value de la chose (ATF 116 Il 305 = JT 1991 I 173; Honsell, op. cit., n. 8 ad art. 205 CO, p. 1175). La moins-value est présumée égale au coût de remise en état de la chose (ATF 111 Il 162 = JT 1985 I 587). En l’espèce, l’application de la présomption susmentionnée conduirait à réduire de 240 fr. le prix de vente de 3'460 fr., aboutissant à un montant de 3'220 francs. Toutefois, une telle issue péjorerait la</w:t>
      </w:r>
    </w:p>
    <w:p>
      <w:r>
        <w:t>- 12 - situation du recourant telle qu’elle a été fixée par le jugement entrepris et irait à l’encontre de ses conclusions, alors que celles-ci lient l’autorité de recours (art. 3 CPC). Le recours doit par conséquent être rejeté, sans qu’il soit nécessaire de procéder à un contrôle du mode de calcul du montant alloué à l’intimé par le premier juge.</w:t>
      </w:r>
    </w:p>
    <w:p>
      <w:r>
        <w:rPr>
          <w:b/>
        </w:rPr>
        <w:t>E. 4</w:t>
      </w:r>
    </w:p>
    <w:p>
      <w:r>
        <w:t>Partant, il y a lieu de rejeter le recours et de confirmer le jugement attaqué. Les frais de deuxième instance du recourant sont arrêtés à 250 francs (art. 230 al. 1 TFJC [tarif du 4 décembre 1984 des frais judiciaires en matière civile; RSV 270.11.5]). Obtenant gain de cause, l'intimé a droit à des dépens de deuxième instance (art. 91 et 92 CPC), qu'il convient de fixer à 200 fr. (art. 2 let. A ch. 3 et art. 4 al. 1 TAg [tarif du 22 février 1972 des honoraires d'agent d'affaires breveté dus à titre de dépens; RSV 179.11.3]). Par ces motifs, la Chambre des recours du Tribunal cantonal, statuant en audience publique, prononce : I. Le recours est rejeté. II. Le jugement est confirmé. III. Les frais de deuxième instance du recourant sont arrêtés à 250 francs (deux cent cinquante francs). IV. Le recourant R.________ doit verser à l'intimé J.________ la somme de 200 fr. (deux cents francs) à titre de dépens de deuxième instance.</w:t>
      </w:r>
    </w:p>
    <w:p>
      <w:r>
        <w:t>- 13 - V. L'arrêt motivé est exécutoire. Le président : Le greffier : Du 24 mars 2010 Le dispositif de l'arrêt qui précède est communiqué par écrit aux intéressés. Le greffier : Du L'arrêt qui précède, dont la rédaction a été approuvée à huis clos, est notifié en expédition complète, par l'envoi de photocopies à : - R.________, - Christophe Savoy (pour J.________). La Chambre des recours considère que la valeur litigieuse est de 2'250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 – 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