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JE21.024810 vom 4. Mai 2023</w:t>
      </w:r>
    </w:p>
    <w:p>
      <w:r>
        <w:t>VD Tribunal cantonal, 2023-05-04, FR</w:t>
      </w:r>
    </w:p>
    <w:p>
      <w:r>
        <w:rPr>
          <w:b/>
        </w:rPr>
        <w:t xml:space="preserve">Quelle: </w:t>
      </w:r>
      <w:r>
        <w:t>https://mcp.opencaselaw.ch/entscheid/vd_gerichte_JE21.024810</w:t>
      </w:r>
    </w:p>
    <w:p>
      <w:r>
        <w:t>FR: VD_GERICHTE JE21.024810 du 4 mai 2023</w:t>
      </w:r>
    </w:p>
    <w:p>
      <w:r>
        <w:t>IT: VD_GERICHTE JE21.024810 del 4 maggio 2023</w:t>
      </w:r>
    </w:p>
    <w:p>
      <w:pPr>
        <w:pStyle w:val="Heading2"/>
      </w:pPr>
      <w:r>
        <w:t>Erwägungen</w:t>
      </w:r>
    </w:p>
    <w:p>
      <w:r>
        <w:rPr>
          <w:b/>
        </w:rPr>
        <w:t>E. 4.1</w:t>
      </w:r>
    </w:p>
    <w:p>
      <w:r>
        <w:t>Au vu de ce qui précède, il y a lieu d’admettre le recours et de réformer le chiffre IV du dispositif de la décision entreprise en ce sens que l’avance des frais d’expertise sera effectuée par l’intimé 1 exclusivement.</w:t>
      </w:r>
    </w:p>
    <w:p>
      <w:r>
        <w:rPr>
          <w:b/>
        </w:rPr>
        <w:t>E. 4.2</w:t>
      </w:r>
    </w:p>
    <w:p>
      <w:r>
        <w:t>Les frais judiciaires de deuxième instance, arrêtés à 200 fr. (art. 69 al. 1 et 70 al. 3 TFJC [tarif des frais judiciaires civils du 28 septembre 2010 ; BLV 270.11.5]), sont mis à la charge de l'intimé 1 qui succombe (art. 106 al. 1 CPC). Il se justifie d’allouer au recourant des dépens de deuxième instance, arrêtés à 600 fr. (art. 3 al. 2 et 8 TDC [tarif des dépens en matière civile du 23 novembre 2010 ; BLV 270.11.6]), à la charge de l’intimé 1. Ainsi, l'intimé 1 versera au recourant la somme de 800 fr., à titre de restitution d’avance de frais et de dépens de deuxième instance.</w:t>
      </w:r>
    </w:p>
    <w:p>
      <w:r>
        <w:t>- 14 - Par ces motifs, la Chambre des recours civile du Tribunal cantonal, prononce : I. Le recours est admis. II. La décision est réformée comme il suit au chiffre IV de son dispositif : IV. dit que l’avance de frais d’expertise sera effectuée par la partie requérante B.________ ; La décision est confirmée pour le surplus. III. Les frais judiciaires de deuxième instance, arrêtés à 200 fr. (deux cents francs), sont mis à la charge de l’intimé B.________. IV. L’intimé B.________ doit verser au recourant O.________ la somme de 800 fr. (huit cents francs), à titre de restitution d’avance de frais et de dépens de deuxième instance. V. L’arrêt est exécutoire. La présidente : La greffière : Du L'arrêt qui précède, dont la rédaction a été approuvée à huis clos, est notifié à : - Me Pierre-Alain Schmidt (pour O.________), - Me Fanette Sardet (pour B.________), - Me Luc André (pour P.________).</w:t>
      </w:r>
    </w:p>
    <w:p>
      <w:r>
        <w:t>- 15 -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