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JE20.026032 vom 29. Juli 2021</w:t>
      </w:r>
    </w:p>
    <w:p>
      <w:r>
        <w:t>VD Tribunal cantonal, 2021-07-29, FR</w:t>
      </w:r>
    </w:p>
    <w:p>
      <w:r>
        <w:rPr>
          <w:b/>
        </w:rPr>
        <w:t xml:space="preserve">Quelle: </w:t>
      </w:r>
      <w:r>
        <w:t>https://mcp.opencaselaw.ch/entscheid/vd_gerichte_JE20.026032</w:t>
      </w:r>
    </w:p>
    <w:p>
      <w:r>
        <w:t>FR: VD_GERICHTE JE20.026032 du 29 juillet 2021</w:t>
      </w:r>
    </w:p>
    <w:p>
      <w:r>
        <w:t>IT: VD_GERICHTE JE20.026032 del 29 luglio 2021</w:t>
      </w:r>
    </w:p>
    <w:p>
      <w:pPr>
        <w:pStyle w:val="Heading2"/>
      </w:pPr>
      <w:r>
        <w:t>Erwägungen</w:t>
      </w:r>
    </w:p>
    <w:p>
      <w:r>
        <w:rPr>
          <w:b/>
        </w:rPr>
        <w:t>E. 3.1.1</w:t>
      </w:r>
    </w:p>
    <w:p>
      <w:r>
        <w:t>La recourante invoque la violation de l’art. 158 al. 1 let. b CPC, qui prévoit que le tribunal administre les preuves en tout temps notamment lorsqu’un intérêt digne de protection est rendu vraisemblable par le requérant.</w:t>
      </w:r>
    </w:p>
    <w:p>
      <w:r>
        <w:rPr>
          <w:b/>
        </w:rPr>
        <w:t>E. 3.1.2</w:t>
      </w:r>
    </w:p>
    <w:p>
      <w:r>
        <w:t>La locution « intérêt digne de protection » à l'art. 158 al. 1 let. b CPC se réfère dans ce contexte à la possibilité d'évaluer les chances d'obtenir gain de cause ou d'apporter une preuve dans le cadre d'un éventuel futur procès. Cette possibilité a pour objectif de diminuer ou d'éviter des procédures dénuées de chances de succès (ATF 143 III 113 consid. 4.4.1, JdT 2017 II 336 ; ATF 138 III 76 consid. 2.4.2, JdT 2014 II 228). Pour rapporter la preuve de la vraisemblance d'un intérêt digne de protection à l'administration d'une preuve hors procès, de simples allégations sur le besoin d'évaluer ou de clarifier les chances de succès d'une procédure ou d'une preuve à administrer ne sont pas suffisantes. L'administration d'une preuve avant procès peut être requise uniquement lorsqu'elle se rapporte à une prétention concrète de droit matériel, l'intérêt à faire administrer une preuve dépendant de l'intérêt à faire reconnaître le bien-fondé d'une prétention (ATF 138 III 76 consid. 2.4.2, JdT 2014 II 228). Le requérant qui motive sa demande d'administration anticipée d'une preuve selon l'art. 158 al. 1 let. b CPC doit ainsi rendre vraisemblable qu’il existe un état de fait sur la base duquel il fonde une prétention de droit matériel contre la partie adverse et qui peut être</w:t>
      </w:r>
    </w:p>
    <w:p>
      <w:r>
        <w:t>- 10 - démontré par le moyen de preuve requis (ATF 143 III 113 consid. 4.4.1, JdT 2017 II 336 ; ATF 138 III 76 consid. 2.4.2, JdT 2014 II 228 ; TF 4A_165/2020 du 14 décembre 2020 consid. 4.1). S'agissant des faits qui doivent être établis par les moyens de preuve à administrer, on ne saurait toutefois exiger qu'ils soient en soi rendus vraisemblables, sauf à méconnaître le but de l'art. 158 al. 1 let. b CPC, lequel tend précisément à clarifier les perspectives de preuve. Si la preuve requise constitue l'unique moyen pour le requérant de prouver sa prétention, on peut se limiter à exiger de sa part qu'il allègue de manière circonstanciée l'existence des faits fondant sa prétention (ATF 140 III 16 consid. 2.2.2, JdT 2016 II 299 ; ATF 138 III 76 consid. 2.4.2, JdT 2014 II 228 ; Colombini, Code de procédure civile, Condensé de la jurisprudence fédérale et cantonale, 2018, n. 3.2.1 ad art. 158 CPC). Hormis à l'égard de la vraisemblance de la prétention principale ou de l'allégation circonstanciée des faits fondant dite prétention, la démonstration de l'existence d'un « intérêt digne de protection » n'est pas soumise à des exigences trop sévères. Cet intérêt doit en principe uniquement être nié lorsqu'il fait manifestement défaut, ce qui peut notamment être le cas lorsque le moyen de preuve n'est clairement pas apte à prouver le fait en question. Il faut finalement tenir compte du fait que, dans le cadre de la procédure de l'art. 158 al. 1 CPC, les preuves sont administrées avant la litispendance, de sorte que l'objet du litige au fond n'est pas encore déterminé avec précision. Par conséquent, il incombe en premier lieu au requérant de fournir au juge les indications nécessaires à l'égard de l'état de fait et de préciser la mesure dans laquelle la preuve requise doit être administrée (ATF 143 III 113 consid. 4.4.1, JdT 2017 II 336 ; ATF 140 III 16 consid. 2.2.2 et 2.2.3, JdT 2016 II 299, RSPC 2014 p. 130 note Trezzini ; Colombini, Code de procédure civile, Condensé de la jurisprudence fédérale et cantonale, 2018, n. 3.2.2 ad art. 158 CPC).</w:t>
      </w:r>
    </w:p>
    <w:p>
      <w:r>
        <w:rPr>
          <w:b/>
        </w:rPr>
        <w:t>E. 3.2</w:t>
      </w:r>
    </w:p>
    <w:p>
      <w:r>
        <w:t>Le juge de paix a retenu que la Dre B.________ a participé à l’opération chirurgicale dont la requérante soutient qu’elle lui a causé un préjudice. Par conséquent, il a considéré que l’opposition de la recourante</w:t>
      </w:r>
    </w:p>
    <w:p>
      <w:r>
        <w:t>- 11 - à la mise en œuvre d’une expertise en ce qui la concernait, dans le cadre d’une procédure de preuve à futur, n’était pas justifiée et l’intérêt de la requérante à une expertise aussi large que possible l’emportait.</w:t>
      </w:r>
    </w:p>
    <w:p>
      <w:r>
        <w:rPr>
          <w:b/>
        </w:rPr>
        <w:t>E. 3.3</w:t>
      </w:r>
    </w:p>
    <w:p>
      <w:r>
        <w:t>Selon la recourante, la requérante à la preuve à futur n’allèguerait aucun fait permettant de fonder une prétention de droit matériel à son encontre. Elle se serait limitée à fournir une assistance opératoire, sans jamais traiter ni suivre la patiente. La recourante n’aurait pas organisé l’intervention, ni sélectionné les intervenants ou l’anesthésiste, ni préparé la salle d’opération, ni choisi la table sur laquelle la patiente a été installée, ni installé la patiente, ni décidé de l’inclinaison de la table, ni activé le mécanisme pour l’incliner, ni assuré le suivi postopératoire de la requérante. Cette dernière ne prétendrait pas que la recourante aurait pris quelque décision que ce soit en lien avec la préparation de la table d’opération, sa manipulation ou l’installation de la patiente, ni même que son rôle aurait dépassé le cadre d’une simple assistance opératoire du Dr P.________. La requérante se contenterait d’alléguer que les Drs B.________ et P.________ « ont procédé à l’opération en qualité de médecins indépendants » et que « leur responsabilité est donc directement engagée en cas de violation des règles de l’art de leur part ou de faute de leurs auxiliaires ». La recourante soutient qu’il ne suffit pas d’établir sa présence lors de l’intervention pour fonder une prétention de droit matériel à son encontre, surtout lorsque le dommage allégué ne résulte pas d’un acte opératoire. Selon la recourante, l’intimée K.________ devrait au moins alléguer une violation des règles de l’art susceptible d’être retenue à son encontre ainsi qu’un lien de causalité avec le dommage allégué. Elle ne disposerait ainsi d’aucun intérêt digne de protection à l’administration anticipée d’une preuve à son encontre. Le seul intérêt général à la preuve retenu dans la décision litigieuse ne suffirait pas à rendre vraisemblable une prétention de droit matériel à son encontre.</w:t>
      </w:r>
    </w:p>
    <w:p>
      <w:r>
        <w:rPr>
          <w:b/>
        </w:rPr>
        <w:t>E. 3.4</w:t>
      </w:r>
    </w:p>
    <w:p>
      <w:r>
        <w:t>En l’espèce, la requérante à la preuve à futur a allégué avoir subi une opération à la clinique de [...] le 1er juillet 2009, suite à laquelle elle aurait subi une atteinte à sa santé. Elle a en outre allégué que les Drs</w:t>
      </w:r>
    </w:p>
    <w:p>
      <w:r>
        <w:t>- 12 - P.________ et B.________ avaient procédé à cette opération et que leur responsabilité était directement engagée en cas de violation des règles de l’art de leur part ou de leurs auxiliaires. La patiente a ainsi rendu vraisemblable que la participation de la recourante à l’intervention litigieuse aux côtés du Dr P.________ constituait un fait sur la base duquel elle pouvait fonder une prétention de droit matériel contre la recourante. Par ailleurs, on ne saurait affirmer que l’expertise médicale – en orthopédie, rhumatologie, gynécologie, chirurgie et anesthésie – ne serait clairement pas apte à prouver les conséquences de la participation de la recourante à l’intervention litigieuse au regard de l’état de santé de la patiente. En effet, l’expertise a notamment pour but de déterminer si les événements intervenus durant l’hystérectomie du 1er juillet 2009 étaient de nature à causer les atteintes à la santé de K.________ et si l’installation de la patiente sur la table avait été réalisée dans les règles de l’art (questions 6 et 7). Partant, ces éléments suffisent à démontrer un intérêt digne de protection de la patiente à ce qu’une expertise médicale dirigée notamment contre la recourante soit mise en œuvre.</w:t>
      </w:r>
    </w:p>
    <w:p>
      <w:r>
        <w:rPr>
          <w:b/>
        </w:rPr>
        <w:t>E. 4</w:t>
      </w:r>
    </w:p>
    <w:p>
      <w:r>
        <w:t>En définitive, le recours doit être rejeté dans la mesure où il est recevable et l’ordonnance entreprise confirmée. Vu l’issue du recours, les frais judiciaires de deuxième instance, arrêtés à 500 fr. (art. 70 al. 2 TFJC [tarif des frais judiciaires civils du 28 septembre 2010 ; BLV 270.11.5]), seront mis à la charge de la recourante, qui succombe (art. 106 al. 1 CPC). Il n’y a pas lieu d’allouer des dépens aux intimés, ceux-ci n’ayant pas été invités à se déterminer.</w:t>
      </w:r>
    </w:p>
    <w:p>
      <w:r>
        <w:t>- 13 - Par ces motifs, la Chambre des recours civile du Tribunal cantonal, prononce : I. Le recours est rejeté dans la mesure où il est recevable. II. L’ordonnance est confirmée. III. Les frais judiciaires de deuxième instance, arrêtés à 500 fr. (cinq cents francs), sont mis à la charge de la recourante B.________. IV. L’arrêt est exécutoire. Le président : La greffière : Du L'arrêt qui précède, dont la rédaction a été approuvée à huis clos, est notifié à : - Me Odile Pelet (pour B.________), - Me Isabelle Jaques (pour K.________), - Me Violaine Sherif Jaccottet (pour S.________), - Me Eric Muster (P.________).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w:t>
      </w:r>
    </w:p>
    <w:p>
      <w:r>
        <w:t>- 14 -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