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JE18.048280 vom 21. Juni 2021</w:t>
      </w:r>
    </w:p>
    <w:p>
      <w:r>
        <w:t>VD Tribunal cantonal, 2021-06-21, FR</w:t>
      </w:r>
    </w:p>
    <w:p>
      <w:r>
        <w:rPr>
          <w:b/>
        </w:rPr>
        <w:t xml:space="preserve">Quelle: </w:t>
      </w:r>
      <w:r>
        <w:t>https://mcp.opencaselaw.ch/entscheid/vd_gerichte_JE18.048280</w:t>
      </w:r>
    </w:p>
    <w:p>
      <w:r>
        <w:t>FR: VD_GERICHTE JE18.048280 du 21 juin 2021</w:t>
      </w:r>
    </w:p>
    <w:p>
      <w:r>
        <w:t>IT: VD_GERICHTE JE18.048280 del 21 giugno 2021</w:t>
      </w:r>
    </w:p>
    <w:p>
      <w:pPr>
        <w:pStyle w:val="Heading2"/>
      </w:pPr>
      <w:r>
        <w:t>Erwägungen</w:t>
      </w:r>
    </w:p>
    <w:p>
      <w:r>
        <w:rPr>
          <w:b/>
        </w:rPr>
        <w:t>E. 3</w:t>
      </w:r>
    </w:p>
    <w:p>
      <w:r>
        <w:t>- 5 -</w:t>
      </w:r>
    </w:p>
    <w:p>
      <w:r>
        <w:rPr>
          <w:b/>
        </w:rPr>
        <w:t>E. 3.1</w:t>
      </w:r>
    </w:p>
    <w:p>
      <w:r>
        <w:t>Le recourant invoque une violation de son droit d'être entendu sous la forme d'un défaut de motivation, la décision n'expliquant pas pourquoi son propre calcul de l'avance a été écarté.</w:t>
      </w:r>
    </w:p>
    <w:p>
      <w:r>
        <w:rPr>
          <w:b/>
        </w:rPr>
        <w:t>E. 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afin que l'intéressé puisse se rendre compte de la portée de celle-ci et l'attaquer en connaissance de cause (ATF 133 I 270 consid. 3.1, JdT 2011 IV 3 ; ATF 130 II 530 consid. 4.3).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 2016, consid. 4.2.4 ; ATF 133 V 402 consid. 3.3 et ATF 124 I 322 consid. 4d p. 325). Selon une jurisprudence de la chambre de céans, pour la fixation d'une avance de frais, la garantie du droit d'être entendu ne trouve pas application. Cela se justifie d'autant plus qu'il s'agit d'un versement qui est provisoire et qui ne préjuge pas du sort final des frais de la cause (CREC 30 novembre 2020/258 consid. 4.3).</w:t>
      </w:r>
    </w:p>
    <w:p>
      <w:r>
        <w:rPr>
          <w:b/>
        </w:rPr>
        <w:t>E. 3.3</w:t>
      </w:r>
    </w:p>
    <w:p>
      <w:r>
        <w:t>En l’espèce, au vu de la jurisprudence précitée, la garantie du droit d’être entendu ne trouve pas application.</w:t>
      </w:r>
    </w:p>
    <w:p>
      <w:r>
        <w:t>- 6 - De toute manière, la fixation du montant de l'avance de frais résulte manifestement de la reprise de l'évaluation effectuée par l'expert qui a distingué quatre postes dans sa lettre du 8 février 2021, puis qui a confirmé son évaluation dans sa lettre du 14 avril 2021 répondant point par point aux objections du recourant. Au demeurant, le juge a écrit au conseil du recourant le 15 avril 2021 notamment ceci : « En ce qui concerne le montant présumé des honoraires de l'expertise complémentaire, l'expert confirme en substance son estimation initiale ». Le recourant n'a pas réagi spécifiquement à cette affirmation, notamment en acceptant la proposition de l'expert consistant pour le recourant à faire exécuter à ses frais les sondages selon l'un des devis n'intégrant pas les frais de remises en état obtenus par lui. Il n'a pas davantage contesté l'évaluation par l'expert des étapes du complément d'expertise, de la quantification des heures nécessaires et des tarifs horaires différenciés annoncés pour l'expert et le co-expert. Une motivation implicite suffit à respecter le droit d'être entendu dès lors que la partie peut, de bonne foi, discerner les motifs qui ont guidé la décision de l'autorité (Colombini, Code de procédure civile, Condensé de la jurisprudence fédérale et vaudoise, Lausanne 2018, n. 3.2.2. ad art. 239 CPC), il y a lieu de retenir dans la présente cause que la décision est suffisamment motivée. Le grief du recourant en violation du droit d’être entendu est rejeté.</w:t>
      </w:r>
    </w:p>
    <w:p>
      <w:r>
        <w:rPr>
          <w:b/>
        </w:rPr>
        <w:t>E. 4.1</w:t>
      </w:r>
    </w:p>
    <w:p>
      <w:r>
        <w:t>Le recourant invoque une prétendue violation de l'art. 184 al. 3 CPC qui traite de la rémunération de l'expert, alors qu’il s’agit ici de vérifier le montant d'une avance de frais.</w:t>
      </w:r>
    </w:p>
    <w:p>
      <w:r>
        <w:rPr>
          <w:b/>
        </w:rPr>
        <w:t>E. 4.2</w:t>
      </w:r>
    </w:p>
    <w:p>
      <w:r>
        <w:t>Les frais d'administration des preuves sont avancés par la partie qui les requiert (art. 102 al. 1 CPC ; ATF 140 III 30 consid. 3.2, JdT 2016 II 314). Pour fixer le montant de l'avance de frais et en imposer la charge à une partie, il n'y a pas lieu de s'inspirer de la solution qui pourrait</w:t>
      </w:r>
    </w:p>
    <w:p>
      <w:r>
        <w:t>- 7 - s'appliquer en matière de répartition finale des frais, en particulier s'agissant de la preuve à futur. Il s'impose au contraire de respecter le principe énoncé à l'art. 102 al. 1 CPC, tel qu'énoncé ci-dessus. Quant à la fixation du montant, le juge pourra se fonder sur les tarifs édictés, mais sur des estimations concrètes, qu'il pourra notamment demander préalablement à un expert pressenti (Tappy, CR-CPC, nn. 6 ss ad art. 102 CPC). L'art. 98 CPC qui dispose que le tribunal peut exiger du demandeur une avance à concurrence de la totalité des frais judiciaires présumés est formulé comme une Kann-Vorschrift, ce qui donne au tribunal une certaine marge d'appréciation (Tappy, CR-CPC, nn. 8 ss ad art. 98 CPC ; CREC 16 août 2019/232 consid. 3.2).</w:t>
      </w:r>
    </w:p>
    <w:p>
      <w:r>
        <w:rPr>
          <w:b/>
        </w:rPr>
        <w:t>E. 4.3</w:t>
      </w:r>
    </w:p>
    <w:p>
      <w:r>
        <w:t>S'agissant des 10'000 fr. destinés à couvrir approximativement les honoraires de l'expert (soit 22 heures au tarif horaire de 250 fr. = 6'000 fr.) et du co-expert (soit 22 heures au tarif horaire de 160 fr. = 4'000 fr.), le recourant estime qu'il conviendrait de réduire ce montant à un total de 7'000 fr. (soit 4'000 fr. pour les honoraires de l’expert N.________ et 3'000 fr. pour les honoraires de l’ingénieur [...]) au motif que le temps annoncé par l’expert dans son courrier du 8 février 2021 serait excessif compte tenu de la nature des questions complémentaires posées qui viseraient à pallier les lacunes du rapport d'expertise principale qui serait incomplet. Cette critique, au demeurant non-vérifiée, n'a pas pour effet de réduire le temps de travail nécessaire pour répondre aux questions complémentaires. S'agissant des frais de carottage et de constat technique, les estimations retenues par l'expert principal paraissent complètes à l'inverse des devis obtenus par le recourant. De plus, le recourant n’a pas donné suite à la proposition de l'expert consistant à commander et à payer lui-même directement ces prestations en fonction des devis qu’il avait produits, sous la supervision de l'expert, de manière à réduire le coût de l'expertise complémentaire, si bien qu’il les a implicitement écartés.</w:t>
      </w:r>
    </w:p>
    <w:p>
      <w:r>
        <w:t>- 8 - La reprise par le juge de paix de l'évaluation de l'expert fondant le montant de l'avance de frais n'est pas arbitraire, contrairement à ce qu'affirme le recourant. Ce moyen est rejeté.</w:t>
      </w:r>
    </w:p>
    <w:p>
      <w:r>
        <w:rPr>
          <w:b/>
        </w:rPr>
        <w:t>E. 5</w:t>
      </w:r>
    </w:p>
    <w:p>
      <w:r>
        <w:t>Au vu de ce qui précède, le recours doit être rejeté et la décision confirmée, sous réserve du délai imparti au recourant pour opérer l’avance de frais qui devra être refixé d’office par le premier juge. Les frais judiciaires de deuxième instance, arrêtés à 400 fr. (art. 69 TFJC [tarif des frais judiciaires civils du 28 septembre 2010 ; BLV 270.11.5]), seront mis à la charge du recourant, qui succombe (art. 106 al. 1 et 3 CPC). L’intimée n’ayant pas été invitée à se déterminer sur le recours, il n’y a pas lieu à l’allocation de dépens de deuxième instance. Par ces motifs, la Chambre des recours civile du Tribunal cantonal, prononce : I. Le recours est rejeté. II. La décision est confirmée sous réserve du délai imparti pour opérer l’avance qui devra être refixé d’office. III. Les frais judiciaires de deuxième instance, arrêtés à 400 fr. (quatre cents francs), sont mis à la charge du recourant Y.________. IV. L’arrêt est exécutoire.</w:t>
      </w:r>
    </w:p>
    <w:p>
      <w:r>
        <w:t>- 9 - Le président : Le greffier : Du L'arrêt qui précède, dont la rédaction a été approuvée à huis clos, est notifié à : - Me Nathanaël Pétermann (pour Y.________), - Me Dario Barbosa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