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JE18.006156 vom 30. November 2021</w:t>
      </w:r>
    </w:p>
    <w:p>
      <w:r>
        <w:t>VD Tribunal cantonal, 2021-11-30, FR</w:t>
      </w:r>
    </w:p>
    <w:p>
      <w:r>
        <w:rPr>
          <w:b/>
        </w:rPr>
        <w:t xml:space="preserve">Quelle: </w:t>
      </w:r>
      <w:r>
        <w:t>https://mcp.opencaselaw.ch/entscheid/vd_gerichte_JE18.006156</w:t>
      </w:r>
    </w:p>
    <w:p>
      <w:r>
        <w:t>FR: VD_GERICHTE JE18.006156 du 30 novembre 2021</w:t>
      </w:r>
    </w:p>
    <w:p>
      <w:r>
        <w:t>IT: VD_GERICHTE JE18.006156 del 30 novembre 2021</w:t>
      </w:r>
    </w:p>
    <w:p>
      <w:pPr>
        <w:pStyle w:val="Heading2"/>
      </w:pPr>
      <w:r>
        <w:t>Erwägungen</w:t>
      </w:r>
    </w:p>
    <w:p>
      <w:r>
        <w:rPr>
          <w:b/>
        </w:rPr>
        <w:t>E. 4.1</w:t>
      </w:r>
    </w:p>
    <w:p>
      <w:r>
        <w:t>S’agissant de la quotité des dépens, la recourante soutient que la fourchette de 3'000 à 8'000 fr. prévue par l’art. 6 TDC (tarif des dépens en matière civile du 23 novembre 2010 ; BLV 270.11.6) pour une valeur litigieuse comprise entre 100'001 et 250'000 fr. est insuffisante et requiert l’allocation de dépens supérieurs, par 35'103 fr. 45, en application de l’art. 20 TDC. L’intimée fait valoir que parmi les opérations facturées par la recourante, certaines porteraient sur l’action au fond et devraient être retranchées, que de manière générale l’ampleur des prétentions de la recourante serait disproportionnée par rapport à la nature du mandat, que la fourchette des valeurs litigieuses pertinentes indiquées à l’art. 6 TDC situe les dépens entre 3'000 et 8'000 fr., qu’il n’y aurait pas de matière à appliquer l’art. 20 TDC et à dépasser ces valeurs dans la mesure où la cause et le travail d’avocat qu’elle a impliqué n’auraient pas été extraordinaires et enfin que la répartition des frais devrait aussi être respectée dans l’octroi de dépens.</w:t>
      </w:r>
    </w:p>
    <w:p>
      <w:r>
        <w:rPr>
          <w:b/>
        </w:rPr>
        <w:t>E. 4.2</w:t>
      </w:r>
    </w:p>
    <w:p>
      <w:r>
        <w:t>Les principes relatifs à la quotité des dépens sont énoncés à l’art. 3 TDC. En règle générale, la partie qui succombe est tenue de rembourser à la partie qui a obtenu gain de cause tous les frais nécessaires causés par le litige (art. 3 al. 1 TDC). Dans les contestations portant sur des affaires patrimoniales, le défraiement est fixé, selon le</w:t>
      </w:r>
    </w:p>
    <w:p>
      <w:r>
        <w:t>- 11 - type de procédure et dans les limites des tableaux figurant aux articles 4 à</w:t>
      </w:r>
    </w:p>
    <w:p>
      <w:r>
        <w:rPr>
          <w:b/>
        </w:rPr>
        <w:t>E. 4.3</w:t>
      </w:r>
    </w:p>
    <w:p>
      <w:r>
        <w:t>A l’appui de sa conclusion en versement d’un montant de 35'103 fr. 45 à titre de dépens de première instance, la recourante a produit une liste d’opérations, qui – comme on l’a vu – est irrecevable. Contrairement à ce qu’indique la recourante, la juge de paix n’était pas tenue d’inviter d’office les parties à produire des notes de frais avant de statuer sur les dépens (TF 4A_171/2017 du 26 septembre 2017 consid. 4). En l’espèce, la recourante n’a pas mis à profit cette possibilité de produire une telle note avant la décision comme le prévoient les art. 105 al. 2 CPC et 3 al. 5 TDC. Sa critique tombe dès lors à faux. L’expert a estimé le coût de la réfection des défauts à un montant se situant entre 200'000 et 250'000 fr. (rapport complémentaire du 30 avril 2018, p. 18). Il résulte de l’application de l’art. 6 TDC que les dépens doivent se situer entre 3'000 et 8'000 francs. Le dossier de la cause, d’une épaisseur relativement modeste, ne permet pas de conclure</w:t>
      </w:r>
    </w:p>
    <w:p>
      <w:r>
        <w:t>- 12 - qu’il s’agit d’un cas spécial, d’une ampleur considérable, présentant des questions de fait ou de doit particulièrement compliquées, justifiant de dépasser le cadre usuel des dépens en application de l’art. 20 al. 1 TDC. Si la procédure a nécessité environ trois ans, c’est en raison de la difficulté de trouver un expert qui accepte la mission et des investigations souterraines menées afin de déterminer si les défauts pouvaient ou devaient être attribués à d’autres intervenants. Compte tenu de la durée de la procédure, le travail accompli par le mandataire, qui est intervenu après l’audience, peut raisonnablement être estimé à 30 heures, ce qui au tarif horaire invoqué de 250 fr., donne un montant de 7'500 fr., auquel s’ajoutent les débours par 150 fr. (art. 19 al. 2 TDC) et la TVA (7.7%) sur le tout par 589 fr. 05, soit 8'239 fr. 05 au total. La procédure civile n’établissant pas, à l’inverse de la procédure pénale, un parallèle indissociable entre la charge des frais et la charge des dépens, il n’y a pas lieu de réduire encore les dépens pour le motif que la recourante supporte, sans le contester en recours, 9.5% des frais de première instance et l’intimée le solde de 90.5%. 5. 5.1 En définitive, le recours doit être partiellement admis en ce sens que l’intimée doit verser à la recourante un montant de 8'239 fr. 05 à titre de dépens de première instance. 5.2 La recourante obtient gain de cause sur le principe de l’allocation de dépens, mais succombe largement quant à leur quotité, puisqu’elle obtient 7'650 fr., alors qu’elle demandait 35'103 fr. 45. Il se justifie par conséquent de mettre les frais judiciaires de deuxième instance, arrêtés à 650 fr. (art. 69 al. 1 TFJC [tarif des frais judiciaires civils du 28 septembre 2010 ; BLV 270.11.5), à la charge de la recourante à raison de deux cinquièmes (260 fr.) et à la charge de l’intimée à raison de trois cinquièmes (390 fr.), de sorte que celle-ci doit verser à la recourante</w:t>
      </w:r>
    </w:p>
    <w:p>
      <w:r>
        <w:t>- 13 - un montant de 390 fr. à titre de restitution partielle de l’avance de frais (art. 111 al. 2 CPC). La recourante sollicite des dépens de deuxième instance, chiffrés à 1'097 fr. (4 heures au tarif horaire de 250 fr., plus 2% de débours, par 20 fr., et 7.7% de TVA, par 50 fr.). Vu l’issue de la procédure de recours, il se justifie de lui allouer des dépens réduits de deuxième instance, qui seront arrêtés à 220 fr. (1'097 x [3/5 ./. 2/5]). Par ces motifs, la Chambre des recours civile du Tribunal cantonal, prononce : I. Le recours est partiellement admis. II. Le chiffre VI de la décision est réformé comme il suit : VI. La partie requérante H.________SA doit verser 8'239 fr. 05 (huit mille deux cent trente-neuf francs et 5 centimes) à la partie intimée T.________, à titre de dépens. III. Les frais judiciaires de deuxième instance, arrêtés à 650 fr. (six cent cinquante francs), sont mis à la charge de la recourante T.________ par 260 fr. (deux cent soixante francs) et de l’intimée H.________SA par 390 fr. (trois cent nonante francs). IV. L’intimée H.________SA doit verser la somme de 610 fr. (six cent dix francs) à la recourante T.________ à titre de dépens et de restitution partielle d’avance de frais de deuxième instance.</w:t>
      </w:r>
    </w:p>
    <w:p>
      <w:r>
        <w:t>- 14 - V. L’arrêt est exécutoire. Le président : La greffière : Du L'arrêt qui précède, dont la rédaction a été approuvée à huis clos, est notifié à : - Me Christophe Claude Maillard (pour T.________), - Me Yvan Henzer (pour H.________SA).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- 15 - Cet arrêt est communiqué, par l'envoi de photocopies, à : - Mme la Juge de paix du district de Morges. La greffière :</w:t>
      </w:r>
    </w:p>
    <w:p>
      <w:r>
        <w:rPr>
          <w:b/>
        </w:rPr>
        <w:t>E. 8</w:t>
      </w:r>
    </w:p>
    <w:p>
      <w:r>
        <w:t>et 10 à 13 du tarif, en considération de l’importance de la cause, de ses difficultés, de l’ampleur du travail et du temps consacré par l’avocat ou l’agent d’affaires breveté (art. 3 al. 2, 1e phrase TDC). L’art. 6 TDC qui fixe le tarif en procédure sommaire prévoit en particulier, pour une valeur litigieuse de 100'001 à 250'000 fr., un défraiement de l’avocat de 3'000 à 8'000 francs. Le juge apprécie l’étendue des opérations nécessaires pour la conduite du procès et se fonde, en règle générale, sur le tarif horaire moyen usuellement admis, réduit de 15 % dans les causes dont la valeur litigieuse ne dépasse pas 30'000 fr., augmenté de manière adéquate dans les causes dont la valeur litigieuse est supérieure à 300'000 fr. (art. 3 al. 2, 2e phrase TDC). Dans les causes qui ont nécessité un travail extraordinaire, notamment lorsque les moyens de preuve ont été longs et difficiles à réunir ou à coordonner, que le dossier a pris une ampleur considérable ou que les questions de fait ou de droit ont été particulièrement compliquées, l’art. 20 al. 2 TDC prévoit que le juge saisi peut fixer des dépens supérieurs à ceux prévus par le tarif.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