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JE13.041734 vom 26. August 2015</w:t>
      </w:r>
    </w:p>
    <w:p>
      <w:r>
        <w:t>VD Tribunal cantonal, 2015-08-26, FR</w:t>
      </w:r>
    </w:p>
    <w:p>
      <w:r>
        <w:rPr>
          <w:b/>
        </w:rPr>
        <w:t xml:space="preserve">Quelle: </w:t>
      </w:r>
      <w:r>
        <w:t>https://mcp.opencaselaw.ch/entscheid/vd_gerichte_JE13.041734</w:t>
      </w:r>
    </w:p>
    <w:p>
      <w:r>
        <w:t>FR: VD_GERICHTE JE13.041734 du 26 août 2015</w:t>
      </w:r>
    </w:p>
    <w:p>
      <w:r>
        <w:t>IT: VD_GERICHTE JE13.041734 del 26 agosto 2015</w:t>
      </w:r>
    </w:p>
    <w:p>
      <w:pPr>
        <w:pStyle w:val="Heading2"/>
      </w:pPr>
      <w:r>
        <w:t>Erwägungen</w:t>
      </w:r>
    </w:p>
    <w:p>
      <w:r>
        <w:rPr>
          <w:b/>
        </w:rPr>
        <w:t>E. 14</w:t>
      </w:r>
    </w:p>
    <w:p>
      <w:r>
        <w:t>août 2015 à l’intimée pour formuler une requête de complément d’expertise, sous la forme de questions complémentaires. En droit, le premier juge a considéré que X.________ SA n’avait pas démontré que l’expert manquait de compétences spécifiques suffisantes pour effectuer l’expertise, ni établi qu’il existait dans l’attitude de l’expert à son égard un élément de partialité ou de prévention. En effet, la structure du rapport précisait les positions de chacun sans alimenter le moindre indice de prévention. B. Par acte du 3 août 2015, X.________ SA a conclu, avec suite de frais et dépens, à la recevabilité du recours et à la réforme de la décision susmentionnée en ce sens qu’il soit procédé à la nomination d’un nouvel expert, conformément à l’art. 188 al. 2 CPC, subsidiairement à sa récusation au sens de l’art. 50 CPC. C. La Chambre des recours civile fait sien dans son entier l'état de fait du jugement, complété par les pièces du dossier, dont il ressort notamment ce qui suit : 1) P.________ est propriétaire d’une parcelle sur laquelle se trouve une piscine, depuis 1994. L’entreprise X.________ SA, qui a une succursale à [...], assume l’entretien de cette piscine depuis la mise en fonction de celle-ci.</w:t>
      </w:r>
    </w:p>
    <w:p>
      <w:r>
        <w:t>- 3 - P.________ allègue qu’en mai 2013, le technicien de service de X.________ SA a remplacé les appareils, la tuyauterie et le couvercle du filtre à sable. Le 19 juin 2013, soit le lendemain de la mise en fonction de la nouvelle installation, P.________ et son ami, également locataire, [...], ont constaté de fortes odeurs de chlore dans le sous-sol de la maison. Procédant à un contrôle, ce dernier a ouvert le couvercle de l’appareil Chlorozone et une très grande concentration de chlore et d’acide à l’état gazeux s’est échappée de l’appareil. De nombreux dégâts ont été causés au sous-sol du bâtiment et à l’étage. Un nouvel incident est survenu le 10 juillet 2013. 2) Dans ce contexte, le 13 septembre 2013, P.________ a adressé au Juge de paix du district du Jura-Nord vaudois une requête de preuve à futur tendant à la nomination d’un expert pour déterminer l’origine des fuites de chlore, déterminer les éventuelles malfaçons affectant les travaux réalisés par X.________ SA au printemps, préciser et chiffrer les travaux nécessaires pour remédier aux défauts et éviter que de nouvelles fuites ne se produisent, ainsi que pour chiffrer le montant des dégâts occasionnés à l’immeuble dont elle est propriétaire. 3) Par décision du 3 février 2014, le juge de paix a admis la requête d’expertise, désigné en qualité d’expert Michel Anstett, c/o Tecnoservice Engineering SA, à Martigny, l’a chargé de répondre aux questions figurant dans les conclusions de la requête, dit que l’avance des frais d’expertise serait effectuée par la requérante et réservé la décision finale sur les frais. L’expert Michel Anstett ayant décliné sa mission par lettre du</w:t>
      </w:r>
    </w:p>
    <w:p>
      <w:r>
        <w:rPr>
          <w:b/>
        </w:rPr>
        <w:t>E. 19</w:t>
      </w:r>
    </w:p>
    <w:p>
      <w:r>
        <w:t>décembre 2008, RS 272 ; cf. Jeandin, CPC commenté, nn. 14-15 ad art. 319 CPC). Il n’y a ainsi pas de motif de traiter une telle décision – qu’elle admette ou rejette le moyen de preuve complémentaire requis – de manière différente des autres décisions en matière de preuve, qui sont attaquables immédiatement seulement par un recours stricto sensu et pour autant qu’elles puissent causer un préjudice difficilement réparable, ce qui n’est en principe pas le cas du refus d’ordonner une deuxième expertise (CREC 12 août 2015 ; CREC 28 mars 2014/116 ; CREC 14 février 2013/55 ; CREC 3 septembre 2013/274 ; cf. TF 4P.335/2006 du 27 février 2007 c. 1.2.4 ; sur le tout : CREC 18 février 2014/67 c. 5b). Selon la jurisprudence de la Chambre de céans, la notion de préjudice difficilement réparable est plus large que celle de dommage irréparable de l'art. 93 al. 1 let. a LTF (Loi du 17 juin 2005 sur le Tribunal</w:t>
      </w:r>
    </w:p>
    <w:p>
      <w:r>
        <w:t>- 6 - fédéral; RS 173.110), puisqu'elle devrait viser également les désavantages de fait (JT 2011 III 86 c. 3 et réf.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références). En outre, un préjudice irréparable de nature juridique ne doit pas pouvoir être ultérieurement réparé ou entièrement réparé par une décision finale favorable au recourant (ATF 134 III 188 c. 2.1 et c. 2.2). A cet égard, la recourante fait uniquement valoir que le refus de nommer un deuxième expert aurait pour effet que la cause serait jugée sur la base d’une expertise lacunaire et non technique. Dès lors que la recourante conserve la possibilité de contester la valeur probante de l’expertise dans le cadre de la procédure au fond, l’éventuel préjudice momentané peut être réparé par une décision finale susceptible de lui être favorable. Partant, la condition de préjudice difficilement réparable n’est, en l’espèce, pas réalisée, de sorte que cette conclusion du recours est irrecevable. 1.2 Aux termes de l’art. 183 al. 2 CPC, les motifs de récusation des magistrats et fonctionnaires judiciaires sont applicables aux experts. Ainsi, l’expert est réputé présenter les mêmes garanties d’impartialité et d’indépendance qu’un magistrat ou un fonctionnaire judiciaire. L'art. 50 al.</w:t>
      </w:r>
    </w:p>
    <w:p>
      <w:r>
        <w:t>- 7 - 2 CPC prévoit que la décision sur récusation peut faire l'objet d'un recours au sens des art. 319 ss CPC. La procédure de récusation, devant conclure rapidement à une solution sur la base de la vraisemblance, suit les règles de la procédure sommaire (art. 248 ss CPC; Tappy, Code de procédure civile commenté, Bâle 2011, nn. 21 et 32 ad art. 50 CPC). Ainsi, le délai pour recourir est de dix jours à compter du lendemain de la notification de la décision (art. 142 al. 1 et 321 al. 2 CPC). En l'espèce, le recours a été déposé en temps utile par une partie qui a qualité pour recourir, de sorte qu'il est recevable en tant qu'il est dirigé contre le rejet de la demande de récusation. 2.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w:t>
      </w:r>
    </w:p>
    <w:p>
      <w:r>
        <w:t>- 8 -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3.1 La recourante soutient que l’expert serait prévenu et partial à son égard parce que, dans son rapport, il aurait tenu pour vraies des déclarations, ni étayées, ni prouvées, de l’ami de l’intimée et qu’il aurait, en définitive, fondé son rapport uniquement sur les déclarations d’une partie ou de l’un de ses proches. 3.2 La récusation d'un expert judiciaire – qui ne fait pas partie du tribunal – s'examine au regard de l'art. 20 al. 1 Cst. garantissant l'équité du procès (ATF 125 II 541 c. 4a) et assurant au justiciable une protection équivalente à celle de l'art. 30 al. 1 Cst. s'agissant des exigences d'impartialité et d'indépendance requises (TF 5A_435/2010 du 28 juillet 2010 c. 3.2; ATF 127 I 196 c. 2b). Selon la jurisprudence relative aux art. 29 al. 1 et 30 al. 1 Cst., les parties à une procédure ont le droit d'exiger la récusation d'un expert dont la situation ou le comportement sont de nature à faire naître un doute sur son impartialité (TF 8C_1058/2010 du 1er juin 2011 c. 4.2).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134 I 20 c. 4.2). Seules des circonstances constatées objectivement doivent être prises en considération; les impressions individuelles d'une des parties au procès ne sont pas</w:t>
      </w:r>
    </w:p>
    <w:p>
      <w:r>
        <w:t>- 9 - décisives (ATF 134 I 20 c. 4.2; ATF 131 I 24 c. 1.1; ATF 127 I 196 c. 2b; ATF 126 I 68 c. 3a; 124 I 121 c. 3a, JT 1999 I 159). Il n'appartient pas au juge de la récusation d'examiner la conduite du procès à la façon d'un organe de surveillance (TF 4A_323/2010 du 3 août 2010 c. 2.2). Des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5A_11/2014 du 3 juillet 2014 c. 3.1; TF 5A_722/2012 du 17 décembre 2012 c. 3.2; ATF 125 I 119 c. 3e). En matière civile, les magistrats et fonctionnaires judiciaires doivent se récuser lorsqu’ils pourraient être prévenus, notamment en raison d’un rapport d’amitié ou d’inimitié avec une partie ou son représentant (art. 47 al. 1 let. f CPC). La partie qui entend obtenir la récusation d’un magistrat ou d’un fonctionnaire judiciaire doit la demander au tribunal aussitôt qu’elle a eu connaissance du motif de récusation et doit rendre vraisemblables les faits qui motivent sa demande (art. 49 al. 1 CPC). La récusation d’un juge ou d’un tribunal ne doit pas être autorisée à la légère, mais uniquement pour des motifs sérieux, la récusation devant demeurer l’exception (TF 1B_337/2010 du 17 novembre 2010 c. 2.2). 3.3 En l’espèce, on comprend de l’argumentation de la recourante qu’elle prétend avoir été « discriminée » par rapport à sa partie adverse, dans le cadre de la procédure d’expertise hors procès, car l’expert aurait accordé, sans motifs, un poids décisif aux déclarations de l’ami de l’intimée. Le rapport d’expertise du 6 novembre 2014 comporte 13 pages, 12 écrits annexés et des photos. Il indique les investigations et démarches de l’expert, qui comprennent la visite des lieux,</w:t>
      </w:r>
    </w:p>
    <w:p>
      <w:r>
        <w:t>- 10 - l’établissement d’un constat et la prise de photos, les auditions distinctes et partiellement séparées des parties, la production de documents et l’analyse des données ainsi récoltées. L’expert a présenté cette manière de procéder aux parties qui ne l’ont pas contestée. Une double chronologie des événements a été établie en fonction des déclarations (ch. 4.1.3 et 5.1.3), d’une part, de la propriétaire de l’ouvrage, respectivement de son ami également locataire, [...], et, d’autre part, de l’entreprise intimée. En page 9 de son rapport, sous la rubrique « Considérations complémentaires de l’expert », celui-ci a déduit du risque, auquel [...] s’était exposé en soulevant le couvercle de l’appareil Chlorozone, que celui-ci n’avait ni perçu ce risque, ni qu’il en avait été averti. Cet avis de l’expert est corroboré par l’examen de la documentation transmise par l’entreprise qui ne fait pas ressortir de consigne de sécurité spécifique quant à la manipulation de ce couvercle, la nécessité de remplacer cet appareil ou la mention d’un danger potentiel. Le recourante se borne à formuler des observations générales sur sa propre perception de l’expertise, sans toutefois rapporter aucun fait ou événement précis permettant d’asseoir ses griefs. Elle ne démontre aucune erreur particulièrement lourde ou répétée susceptible d’être considérée comme une violation grave des devoirs de l’expert, ni n’apporte d’élément objectif, concret et sérieux susceptible de démontrer une quelconque prévention dans l’attitude de l’expert. 4. Au vu de ce qui précède, le recours est manifestement infondé et la décision attaquée doit être confirmée selon le mode procédural de l’art. 321 al. 1 CPC. 5. Les frais judiciaires de deuxième instance, arrêtés à 525 fr., sont mis à la charge de la recourante qui succombe (art. 106 al. 1 CPC ; art. 69 al. 1 TFJC [tarif des frais judiciaires civils du 28 septembre 2010, RSV 270.11.5]).</w:t>
      </w:r>
    </w:p>
    <w:p>
      <w:r>
        <w:t>- 11 - Il n’y a pas lieu d’allouer de dépens, l’intimée n’ayant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525 fr. (cinq cent vingt-cinq francs), sont mis à la charge de la recourante X.________ SA. IV. L’arrêt motivé est exécutoire. Le président : La greffière :</w:t>
      </w:r>
    </w:p>
    <w:p>
      <w:r>
        <w:t>- 12 - Du 27 août 2015 Le dispositif de l'arrêt qui précède est communiqué par écrit aux intéressés. La greffière : Du L'arrêt qui précède, dont la rédaction a été approuvée à huis clos, est notifié en expédition complète, par l'envoi de photocopies, à : - Me Filippo Ryter, av. (pour la recourante X.________ SA), - Me Paul-Arthur Treyvaud, av. (pour l’intimée P.________). La Chambre des recours civile considère que la valeur litigieuse est de 22’500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