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JE12.038366 vom 3. Dezember 2013</w:t>
      </w:r>
    </w:p>
    <w:p>
      <w:r>
        <w:t>VD Tribunal cantonal, 2013-12-03, FR</w:t>
      </w:r>
    </w:p>
    <w:p>
      <w:r>
        <w:rPr>
          <w:b/>
        </w:rPr>
        <w:t xml:space="preserve">Quelle: </w:t>
      </w:r>
      <w:r>
        <w:t>https://mcp.opencaselaw.ch/entscheid/vd_gerichte_JE12.038366</w:t>
      </w:r>
    </w:p>
    <w:p>
      <w:r>
        <w:t>FR: VD_GERICHTE JE12.038366 du 3 décembre 2013</w:t>
      </w:r>
    </w:p>
    <w:p>
      <w:r>
        <w:t>IT: VD_GERICHTE JE12.038366 del 3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18 septembre 2012, la Z.________ a saisi la Justice de paix du district de l’Ouest lausannois d’une requête de preuve à futur dirigée contre Q.________ dont les conclusions, prises sous suite de frais et dépens, sont les suivantes : « I. que la requête de preuve à futur est admise.</w:t>
      </w:r>
    </w:p>
    <w:p>
      <w:r>
        <w:t>- 3 - II. qu’en conséquence, un expert est désigné avec pour mission de répondre aux questions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