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JD22.048412 vom 10. Juli 2023</w:t>
      </w:r>
    </w:p>
    <w:p>
      <w:r>
        <w:t>VD Tribunal cantonal, 2023-07-10, FR</w:t>
      </w:r>
    </w:p>
    <w:p>
      <w:r>
        <w:rPr>
          <w:b/>
        </w:rPr>
        <w:t xml:space="preserve">Quelle: </w:t>
      </w:r>
      <w:r>
        <w:t>https://mcp.opencaselaw.ch/entscheid/vd_gerichte_JD22.048412</w:t>
      </w:r>
    </w:p>
    <w:p>
      <w:r>
        <w:t>FR: VD_GERICHTE JD22.048412 du 10 juillet 2023</w:t>
      </w:r>
    </w:p>
    <w:p>
      <w:r>
        <w:t>IT: VD_GERICHTE JD22.048412 del 10 luglio 2023</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1.2</w:t>
      </w:r>
    </w:p>
    <w:p>
      <w:r>
        <w:t>Déposé en temps utile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w:t>
      </w:r>
    </w:p>
    <w:p>
      <w:r>
        <w:t>- 4 - romand, Code de procédure civile, 2e éd., 2019 [ci-après : CR-CPC], nn. 2 ss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 JdT 2017 II 153 ; TF 5A_67/2020 du 10 août 2020 consid. 3.3.1). Les vrais novas, qui sont des faits ou moyens de preuve nés après la fin de l'audience de débats principaux de première instance, sont ainsi recevables en appel lorsqu'ils sont invoqués sans retard après leur découverte.</w:t>
      </w:r>
    </w:p>
    <w:p>
      <w:r>
        <w:rPr>
          <w:b/>
        </w:rPr>
        <w:t>E. 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CR-CPC, n. 6 ad art. 125 CPC). En l’espèce, il convient de joindre les causes, celles-ci ayant le même objet.</w:t>
      </w:r>
    </w:p>
    <w:p>
      <w:r>
        <w:rPr>
          <w:b/>
        </w:rPr>
        <w:t>E. 4.1</w:t>
      </w:r>
    </w:p>
    <w:p>
      <w:r>
        <w:t>A teneur de l’art. 242 CPC, si la procédure prend fin pour d’autres raisons que celles indiquées à l’art. 241 CPC sans avoir fait l’objet d’une décision, elle est rayée du rôle. A titre d’exemple, Tappy cite le décès d’une partie dans un procès non transmissible à cause de mort, comme un procès en divorce (Tappy, CR-CPC, n. 4 ad art. 242 CPC). Toujours selon cet auteur, le tribunal peut agir d’office ou à la requête d’une partie, par exemple l’époux non décédé dans une procédure de divorce. Le juge peut radier la cause du rôle après un contrôle formel des conditions de cette radiation (idem, n. 6 ad art. 242 CPC).</w:t>
      </w:r>
    </w:p>
    <w:p>
      <w:r>
        <w:t>- 5 - La jurisprudence va également dans ce sens, puisque le Tribunal fédéral a jugé que l'action en divorce étant de nature éminemment personnelle, une fois introduite, elle ne pouvait pas être continuée par les héritiers de l'époux qui serait décédé en cours d'instance. Ainsi, si un époux mourait avant que le jugement cantonal soit définitif, son décès mettait fin à l'instance et le mariage était dissous par la mort (ATF 93 II 151 consid. 3a et les réf. citées).</w:t>
      </w:r>
    </w:p>
    <w:p>
      <w:r>
        <w:rPr>
          <w:b/>
        </w:rPr>
        <w:t>E. 4.2</w:t>
      </w:r>
    </w:p>
    <w:p>
      <w:r>
        <w:t>En l’espèce, le décès de B.R.________, survenu après le jugement attaqué, est un vrai nova recevable en appel. Le décès d’une partie mettant fin à l’instance au sens de l’art. 242 CPC, il convient de constater que les conditions de la radiation du rôle sont réalisées, sans qu’il y ait lieu d’interpeller les héritiers de feu B.R.________, s’agissant d’un procès non transmissible à cause de mort.</w:t>
      </w:r>
    </w:p>
    <w:p>
      <w:r>
        <w:rPr>
          <w:b/>
        </w:rPr>
        <w:t>E. 5.1</w:t>
      </w:r>
    </w:p>
    <w:p>
      <w:r>
        <w:t>Au vu de ce qui précède, l’appel doit être admis en ce sens que le jugement est annulé et la cause est renvoyée à la présidente, à qui il reviendra de rayer la cause du rôle et de statuer sur les frais de première instance.</w:t>
      </w:r>
    </w:p>
    <w:p>
      <w:r>
        <w:rPr>
          <w:b/>
        </w:rPr>
        <w:t>E. 5.2</w:t>
      </w:r>
    </w:p>
    <w:p>
      <w:r>
        <w:t>Le tribunal peut s’écarter des règles générales et répartir les frais selon sa libre appréciation, notamment dans les cas où la procédure est devenue sans objet et que la loi n’en dispose pas autrement (art. 107 al. 1 let. e CPC). En raison des motifs ayant conduit à rayer la cause du rôle, il convient de rendre l’arrêt sans frais judiciaires, ni dépens.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