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JD22.035717 vom 6. November 2023</w:t>
      </w:r>
    </w:p>
    <w:p>
      <w:r>
        <w:t>VD Tribunal cantonal, 2023-11-06, FR</w:t>
      </w:r>
    </w:p>
    <w:p>
      <w:r>
        <w:rPr>
          <w:b/>
        </w:rPr>
        <w:t xml:space="preserve">Quelle: </w:t>
      </w:r>
      <w:r>
        <w:t>https://mcp.opencaselaw.ch/entscheid/vd_gerichte_JD22.035717</w:t>
      </w:r>
    </w:p>
    <w:p>
      <w:r>
        <w:t>FR: VD_GERICHTE JD22.035717 du 6 novembre 2023</w:t>
      </w:r>
    </w:p>
    <w:p>
      <w:r>
        <w:t>IT: VD_GERICHTE JD22.035717 del 6 novembre 2023</w:t>
      </w:r>
    </w:p>
    <w:p>
      <w:pPr>
        <w:pStyle w:val="Heading2"/>
      </w:pPr>
      <w:r>
        <w:t>Erwägungen</w:t>
      </w:r>
    </w:p>
    <w:p>
      <w:r>
        <w:rPr>
          <w:b/>
        </w:rPr>
        <w:t>E. 2</w:t>
      </w:r>
    </w:p>
    <w:p>
      <w:r>
        <w:t>Le 2 août 2023, Me M.________ a déposé une liste intermédiaire de ses opérations pour la période du 12 août 2022 au 2 août 2023, laquelle fait état de 46 heures et 5 minutes consacrées à la procédure. Il a requis une indemnité de 9'500 fr. 85, soit des honoraires par 8'295 fr., des « frais soumis TVA » par 111 fr. 42 et des débours par 414 fr. 75, TVA sur le tout par 679 fr. 68 en sus. Cette liste de 12 pages comporte environ 360 opérations. Les plus significatives, s’agissant de leur durée, sont la réception de pièces de la cliente le 29 août 2022 (00 h. 45) et de pièces du conseil de la partie adverse le 12 janvier 2023 (00 h. 45), un entretien avec la cliente le 20 janvier 2023 (1 h. 10), la rédaction d’une demande unilatérale de divorce le 30 janvier 2023 (1 h. 30), la relecture et la correction de cette écriture le</w:t>
      </w:r>
    </w:p>
    <w:p>
      <w:r>
        <w:t>- 4 - lendemain (1 h. 00), la rédaction d’un procédé écrit le 21 février 2023 (2 h. 00), l’examen des pièces et la préparation de l’audience le 23 février 2023 (1 h. 00), la présence à l’audience présidentielle de conciliation et de mesures provisionnelles le 23 février 2023 (0 h. 45) et un entretien avec la cliente le 1er juin 2023 (1 h. 20), soit 10 h. 15 au total. Quant au solde des opérations, il porte essentiellement sur une cinquantaine d’entretiens téléphoniques, principalement avec la cliente, en règle générale d’une durée de 5 minutes, voire 10 minutes, une centaine de rédactions de courriers ou courriels, généralement à la cliente, parfois au conseil de la partie adverse, au tribunal ou à des tiers, en principe d’une durée de dix minutes, et une septantaine de réceptions de courriers, courriels ou pièces, comptabilisées la plupart du temps à raison de 5 minutes, voire 10 minutes.</w:t>
      </w:r>
    </w:p>
    <w:p>
      <w:r>
        <w:rPr>
          <w:b/>
        </w:rPr>
        <w:t>E. 2.1</w:t>
      </w:r>
    </w:p>
    <w:p>
      <w:r>
        <w:t>Sous l’angle des motifs, le recours est recevable pour violation du droit (art. 320 let. a CPC) et pour constatation manifestement inexacte</w:t>
      </w:r>
    </w:p>
    <w:p>
      <w:r>
        <w:t>- 6 -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w:t>
      </w:r>
    </w:p>
    <w:p>
      <w:r>
        <w:rPr>
          <w:b/>
        </w:rPr>
        <w:t>E. 2.2</w:t>
      </w:r>
    </w:p>
    <w:p>
      <w:r>
        <w:t>Les conclusions, les allégations de fait et les preuves nouvelles sont irrecevables en procédure de recours (art. 326 al. 1 CPC). L’irrecevabilité prévue par cette disposition vaut également en matière d’assistance judiciaire, nonobstant la maxime inquisitoire (TF 5A_863/2017 du 3 août 2018 consid. 2.3 ; CREC 22 août 2022/199 consid. 2.2). En l’espèce, le recourant a produit une correspondance que sa cliente lui a adressée le 26 octobre 2023, soit après que le jugement entrepris ait été rendu. S’agissant d’une pièce nouvelle, elle est irrecevable. 3.</w:t>
      </w:r>
    </w:p>
    <w:p>
      <w:r>
        <w:rPr>
          <w:b/>
        </w:rPr>
        <w:t>E. 3</w:t>
      </w:r>
    </w:p>
    <w:p>
      <w:r>
        <w:t>Le 15 septembre 2023, Me M.________ a déposé sa liste finale des opérations pour la période du 7 août 2023 au 15 septembre 2023, dans laquelle il indique avoir encore consacré 5 heures et 15 minutes à son mandat. Il a requis une indemnité complémentaire de 1'188 fr. 70, soit des honoraires par 945 fr., des « frais soumis TVA » par 111 fr. 42 et des débours par 47 fr. 25, TVA sur le tout par 85 fr. 03 en sus. Cette liste mentionne une vingtaine d’opérations. Les plus significatives, du point de vue de leur durée, sont l’examen de la question juridique LPP le 10 août 2023 (1 h. 15), la présence à l’audience de jugement le 10 août 2023 (0 h. 50) et un entretien avec la cliente le 23 août 2023 (0 h. 30). Le solde des opérations concerne cinq entretiens – téléphoniques ou non – avec la cliente, d’une durée variant entre 5 et 30 minutes, la rédaction d’une dizaine de courriers à la cliente, le conseil de la partie adverse ou le tribunal, d’une durée de 10 minutes chacun, et la réception à deux reprises d’envois de Me [...], portée en compte à raison de 5 minutes, respectivement 10 minutes. En d roit :</w:t>
      </w:r>
    </w:p>
    <w:p>
      <w:r>
        <w:t>- 5 - 1. 1.1 La décision arrêtant la rémunération du conseil d'office au sens de l'art. 122 al. 1 let. a CPC (Code de procédure civile du 19 décembre 2008 ; RS 272) est une décision sur les frais qui ne peut être attaquée séparément que par un recours selon l'art. 110 CPC (Tappy, Commentaire romand, Code de procédure civile [ci-après : CR-CPC], 2e éd., Bâle 2019, n. 21 ad art. 122 CPC ; voir également TF 5A_120/2016 du 26 mai 2016 consid. 2.1).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TF 5A_706/2018 du 11 janvier 2019 consid. 1.3 ; Tappy, op. cit., n. 22 ad art. 122 CPC). 1.2 En l'espèce, formé en temps utile par une partie disposant d’un intérêt digne de protection (art. 59 al. 2 let. a CPC), le recours est recevable. 2.</w:t>
      </w:r>
    </w:p>
    <w:p>
      <w:r>
        <w:rPr>
          <w:b/>
        </w:rPr>
        <w:t>E. 3.1</w:t>
      </w:r>
    </w:p>
    <w:p>
      <w:r>
        <w:t>Le recourant conteste la réduction de ses opérations et soutient qu’il n’aurait pas été rémunéré équitablement par le juge de première instance. Il fait valoir que la réduction de 8 heures et 50 minutes pour le temps consacré à la correspondance n’est pas justifiée, car il ne s’agissait pas de simples mémos mais de rédactions de courriers expliquant à sa cliente les enjeux « pour sa parfaite information ». La réduction relative à la prise de connaissance de courriers serait également</w:t>
      </w:r>
    </w:p>
    <w:p>
      <w:r>
        <w:t>- 7 - infondée, car leur réception n’impliquerait pas dans tous les cas une lecture cursive de quelques secondes. Il en irait de même de la réduction du temps de rédaction d’un bordereau de pièces, vu en l’occurrence la complexité de cette opération. Pour le reste, les opérations retranchées auraient été nécessaires à la défense des intérêts de sa cliente. Enfin le recourant se plaint d’une violation de son droit d’être entendu, dès lors que le premier juge aurait dû lui impartir un délai de détermination avant de procéder à la réduction des heures et que la décision entreprise serait insuffisamment motivée.</w:t>
      </w:r>
    </w:p>
    <w:p>
      <w:r>
        <w:rPr>
          <w:b/>
        </w:rPr>
        <w:t>E. 3.2.1</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CR-CPC, nn. 19 et 20 ad art. 53 CPC). Ce moyen doit par conséquent être examiné en premier lieu (ATF 124 I 49, SJ 1998 403) et avec un plein pouvoir d'examen (ATF 127 III 193 consid. 3 et les réf. citées). En procédure civile, le droit d'être entendu est concrétisé à l'art. 53 CPC.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w:t>
      </w:r>
    </w:p>
    <w:p>
      <w:r>
        <w:t>- 8 - mais elle peut au contraire se limiter à ceux qui, sans arbitraire, lui paraissent pertinents (ATF 143 III 65 consid. 5.2 ; ATF 142 II 154 consid. 4.2 ; TF 5A_663/2019 du 29 août 2019 consid. 5.1).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Le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 figurant sur la note d’honoraires (TF 5D_230/2020 du 15 février 2021 consid. 3.7, en matière d’indemnisation du curateur).</w:t>
      </w:r>
    </w:p>
    <w:p>
      <w:r>
        <w:rPr>
          <w:b/>
        </w:rPr>
        <w:t>E. 3.2.2</w:t>
      </w:r>
    </w:p>
    <w:p>
      <w:r>
        <w:t>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 118/2021 du 15 octobre 2021 consid. 5.1.1 ; TF 5A 82/2018 du 15 juin 2018 consid. 6.2.1 et les réf. citées).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w:t>
      </w:r>
    </w:p>
    <w:p>
      <w:r>
        <w:t>- 9 -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1 1 consid. 3a ; TF 5D_118/2021, déjà cité, consid. 5.1.3 ; TF 5D 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 118/2021, déjà cité, consid. 5.1.3 ; TF 5A 82/2018, déjà cité, consid. 6.2.2). L'avocat doit toutefois bénéficier d'une marge d'appréciation suffisante pour déterminer l'importance du travail qu'exige l'affaire (TF 5A 10/2018 du 17 avril 2018 consid. 3.2.2.3, RSPC 2018 p. 370 ; TF 5D_149/2016, déjà cité, consid. 3.3).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I’importance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w:t>
      </w:r>
    </w:p>
    <w:p>
      <w:r>
        <w:t>- 10 - Le temps indiqué pour la rédaction de mémos ou d’avis de transmission ne peut être pris en compte à titre d’activité déployée par l’avocat, s’agissant de pur travail de secrétariat (CREC 11 août 2017/294 ; CREC 3 août 2016/301). Lorsque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(CCUR 25 octobre 2017/204). Il est admissible de considérer que les opérations correspondant à l’envoi de courriels au client le même jour qu’un courrier à la partie adverse et/ou au tribunal, toutes comptabilisées de manière forfaitaire à 12 minutes, constituent manifestement des mémos non facturables (CREC 15 août 2022/188).</w:t>
      </w:r>
    </w:p>
    <w:p>
      <w:r>
        <w:rPr>
          <w:b/>
        </w:rPr>
        <w:t>E. 3.3.1</w:t>
      </w:r>
    </w:p>
    <w:p>
      <w:r>
        <w:t>Les longs développements consacrés par le recourant à la remise en question du tarif horaire de 180 fr. pour la rémunération de l’avocat d’office n’appellent pas de réponse dans le cadre d’un recours, le pouvoir de cognition de la Chambre de céans ne permettant pas la modification du RAJ.</w:t>
      </w:r>
    </w:p>
    <w:p>
      <w:r>
        <w:rPr>
          <w:b/>
        </w:rPr>
        <w:t>E. 3.3.2</w:t>
      </w:r>
    </w:p>
    <w:p>
      <w:r>
        <w:t>Contrairement à ce que soutient le recourant, le premier juge n’avait pas à l’interpeller avant de s’écarter des décomptes produits. Le droit d’être entendu n’oblige en effet pas l’autorité à donner à l’avocat, dans chaque cas, l’occasion de fournir des explications ultérieures, une réduction de la créance des honoraires de l’avocat sans audition complémentaire ne devant en principe pas être considérée comme une violation du droit d’être entendu (TF 5A_705/2014 du 15 octobre 2014 consid. 7.1, SJ 2015 I 78 ; TF 5D_54/ 2014 du 1er juillet 2014 consid. 1.4 ; cf. CREC 14 septembre 2015/332, lequel rappelle qu’une telle pratique d’interpellation n’a pas cours). C’est donc au recourant qu’il appartenait de démontrer que les opérations pour lesquelles il entend être indemnisé étaient justifiées, quitte à fournir une note explicative avec sa note de frais. Au demeurant, l’examen du dossier ne permet pas de retenir que la procédure de divorce aurait été particulièrement difficile,</w:t>
      </w:r>
    </w:p>
    <w:p>
      <w:r>
        <w:t>- 11 - contrairement à ce que semble prétendre le recourant. Le fait qu’il s’agisse d’un mariage de longue durée, concernant des parties nées en 1957 pour l’épouse en 1945 pour le mari, lequel a bénéficié de mesures de protection de l’adulte en cours de procédure, ne saurait justifier à lui seul le temps et la quantité d’opérations comptabilisées, étant rappelé que le rôle du conseil d’office doit se limiter aux opérations nécessaires à l'accomplissement du mandat officiel, sans endosser le rôle du mandataire privé appelé à résoudre toutes les questions que lui soumettrait son client (cf. TF 5D_4/2016 précité consid. 4.4).</w:t>
      </w:r>
    </w:p>
    <w:p>
      <w:r>
        <w:rPr>
          <w:b/>
        </w:rPr>
        <w:t>E. 3.3.3</w:t>
      </w:r>
    </w:p>
    <w:p>
      <w:r>
        <w:t>Pour le reste, le premier juge a indiqué par type d’activité (rédaction de correspondances s’apparentant à des mémos, réception de courriers et pièces n’impliquant qu’une lecture brève et cursive, correspondances envoyées en doublon, opérations relevant d’un pur travail de secrétariat, rédaction et relecture de procédés écrits) les opérations dont il estimait la durée excessive, ainsi que le temps qu’il convenait de réduire pour chacune d’elles. La motivation du premier juge, bien que succincte, est suffisante pour permettre au recourant de contester efficacement la décision et répond donc aux exigences jurisprudentielles précitées. On ne discerne par conséquent aucune violation du droit d'être entendu du recourant. Concernant l’ampleur et le motif des réductions, ils sont également justifiés. Pour la déduction des mémos, le premier juge a comptabilisé toutes les opérations où il y avait à la même date un envoi concomitant avec un courrier ou courriel à un autre destinataire, soit les opérations des 16, 29 août, 8, 13 septembre, 5, 10 octobre, 4, 22 novembre, 7, 12, 23 décembre 2022, 5, 9, 30, 31 janvier, 1er, 3, 13, 15, 16, 21 février, 2, 3, 7, 9, 15, 16, 22, 27, 29 mars, 3 avril, 26, 31 mai, 1er juin et</w:t>
      </w:r>
    </w:p>
    <w:p>
      <w:r>
        <w:rPr>
          <w:b/>
        </w:rPr>
        <w:t>E. 5</w:t>
      </w:r>
    </w:p>
    <w:p>
      <w:r>
        <w:t>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6</w:t>
      </w:r>
    </w:p>
    <w:p>
      <w:r>
        <w:t>juin, 11 juillet et 7 août 2023. Contrairement à ce que soutient le recourant, ce genre d’opérations ne prend que très peu de temps et il n’y a aucune raison de revenir sur la jurisprudence rendue à ce propos. Enfin, concernant la rédaction d’un bordereau de pièces et d’une procuration, il s’agit, comme l’a retenu le premier juge, d’un travail de secrétariat, déjà inclus dans le tarif horaire de l’avocat. Le montant de l’indemnité d’office alloué en première instance doit ainsi être confirmé. 4. En définitive, le recours, manifestement mal fondé, doit être rejeté dans la mesure de sa recevabilité et le jugement entrepris confirmé. Les frais judiciaires de deuxième instance, arrêtés à 200 fr. (art. 69 al. 1 TFJC [tarif des frais judiciaires en matière civile du 28 septembre 2010 ; RSV 270.11.5]), sont mis à la charge du recourant, qui succombe (art. 106 al. 1 CPC). Il n’est pas alloué de dépens de deuxième instance, l’intimée n’ayant pas été invitée à procéder.</w:t>
      </w:r>
    </w:p>
    <w:p>
      <w:r>
        <w:t>- 13 - Par ces motifs, la Chambre des recours civile du Tribunal cantonal, en application de l'art. 322 al. 1 CPC, prononce : I. Le recours est rejeté dans la mesure de sa recevabilité. II. Le jugement est confirmé. III. Les frais judiciaires de deuxième instance, arrêtés à 200 fr. (deux cents francs), sont mis à la charge du recourant M.________. IV. L’arrêt est exécutoire La présidente : La greffière : Du L'arrêt qui précède, dont la rédaction a été approuvée à huis clos, est notifié à : - Me M.________, - Mme J.________,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- 14 -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