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JD22.034147 vom 17. August 2023</w:t>
      </w:r>
    </w:p>
    <w:p>
      <w:r>
        <w:t>VD Tribunal cantonal, 2023-08-17, FR</w:t>
      </w:r>
    </w:p>
    <w:p>
      <w:r>
        <w:rPr>
          <w:b/>
        </w:rPr>
        <w:t xml:space="preserve">Quelle: </w:t>
      </w:r>
      <w:r>
        <w:t>https://mcp.opencaselaw.ch/entscheid/vd_gerichte_JD22.034147</w:t>
      </w:r>
    </w:p>
    <w:p>
      <w:r>
        <w:t>FR: VD_GERICHTE JD22.034147 du 17 août 2023</w:t>
      </w:r>
    </w:p>
    <w:p>
      <w:r>
        <w:t>IT: VD_GERICHTE JD22.034147 del 17 agosto 2023</w:t>
      </w:r>
    </w:p>
    <w:p>
      <w:pPr>
        <w:pStyle w:val="Heading2"/>
      </w:pPr>
      <w:r>
        <w:t>Volltext</w:t>
      </w:r>
    </w:p>
    <w:p>
      <w:r>
        <w:t>TRIBUNAL CANTONAL JD22.034147-230541 330 CO UR D’APPEL CIVI L E ____________________________ Arrêt du 17 août 2023 ______________________ Composition : Mme GIROUD WALTHER, juge déléguée Greffière : Mme Bourqui ***** Art. 241 al. 3 CPC Statuant sur l’appel interjeté par S.________, à [...], contre le jugement rendu le 12 mars 2023 par le Tribunal civil de l’arrondissement de l’Est vaudois dans la cause divisant l’appelante d’avec J.________, à [...] (France), la juge déléguée de la Cour d'appel civile du Tribunal cantonal considère : 1110</w:t>
      </w:r>
    </w:p>
    <w:p>
      <w:r>
        <w:t>- 2 - En fait et e n droi t : 1. Par jugement du 21 mars 2023, le Tribunal civil de l’arrondissement de l’Est vaudois a prononcé le divorce des époux J.________ et S.________ (I), a ratifié, pour valoir jugement, la convention sur les effets accessoires du divorce signée par les parties le 5 août 2022, annexée au jugement pour en faire partie intégrante (II), a arrêté les frais judiciaires et les a répartis par moitié entre les parties (III). Par acte du 20 avril 2023, S.________ (ci-après : l’appelante) a interjeté appel contre ce jugement. Par réponse du 26 juin 2023, J.________ (ci-après : l’intimé) a conclu, avec suite de frais et dépens, à l’irrecevabilité de l’appel, subsidiairement, à son rejet. Par courrier du 17 juillet 2023, l’appelante a déclaré retirer son appel et s’en remettre à justice s’agissant des frais et dépens. Il convient de prendre acte du retrait de l’appel et de rayer la cause du rôle (art. 241 al. 3 CPC [Code de procédure civile du 19 décembre 2008 ; RS 272]), ce qui relève de la compétence du juge délégué de la Cour de céans (art. 43 al. 1 let. a CDPJ [Code de droit privé judiciaire vaudois du 12 janvier 2010 ; BLV 211.02]). 2. Les frais judiciaires de deuxième instance, réduits d’un tiers dès lors que l'appel a été retiré après que le dossier ait circulé auprès des membres de la cour, sont arrêtés à 400 fr. (art. 63 al. 1 et 67 al. 2 TFJC [tarif des frais judiciaires civils du 28 septembre 2010 ; BLV 270.11.5]) et mis à la charge de l’appelante qui succombe (art. 106 al. 1 CPC). L’appelante versera à l’intimé – qui a déposé une réponse de 12 pages, un courrier, un bordereau de pièces et qui a consulté le dossier – des dépens de deuxième instance arrêtés à 1’800 fr. (art. 106 al. 1 CPC ;</w:t>
      </w:r>
    </w:p>
    <w:p>
      <w:r>
        <w:t>- 3 - art. 7 TDC [tarif des dépens en matière civile ; BLV 270.11.6]), la cause étant peu complexe. Par ces motifs, la juge déléguée de la Cour d’appel civile prononce : I. Il est pris acte du retrait de l'appel. II. La cause est rayée du rôle. III. Les frais judiciaires de deuxième instance, arrêtés à 400 fr. (quatre cents francs), sont mis à la charge de l’appelante S.________. IV. L’appelante S.________ versera à l’intimé J.________ la somme de 1’800 fr. (mille huit cents francs) à titre de dépens de deuxième instance. V. L'arrêt est exécutoire. La juge déléguée : La greffière :</w:t>
      </w:r>
    </w:p>
    <w:p>
      <w:r>
        <w:t>- 4 - Du Le présent arrêt, dont la rédaction a été approuvée à huis clos, est notifié à : - Me Stève Kalbermatten (pour S.________), - Me Laura Emonet (pour J.________), et communiqué, par l'envoi de photocopies, à : - M. le Président du Tribunal civil de l’arrondissement de l’Est vaudois. La juge déléguée de la Cour d’appel civile considère que la valeur litigieuse est supérieure de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