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JD20.031000 vom 12. März 2021</w:t>
      </w:r>
    </w:p>
    <w:p>
      <w:r>
        <w:t>VD Tribunal cantonal, 2021-03-12, FR</w:t>
      </w:r>
    </w:p>
    <w:p>
      <w:r>
        <w:rPr>
          <w:b/>
        </w:rPr>
        <w:t xml:space="preserve">Quelle: </w:t>
      </w:r>
      <w:r>
        <w:t>https://mcp.opencaselaw.ch/entscheid/vd_gerichte_JD20.031000</w:t>
      </w:r>
    </w:p>
    <w:p>
      <w:r>
        <w:t>FR: VD_GERICHTE JD20.031000 du 12 mars 2021</w:t>
      </w:r>
    </w:p>
    <w:p>
      <w:r>
        <w:t>IT: VD_GERICHTE JD20.031000 del 12 marzo 2021</w:t>
      </w:r>
    </w:p>
    <w:p>
      <w:pPr>
        <w:pStyle w:val="Heading2"/>
      </w:pPr>
      <w:r>
        <w:t>Erwägungen</w:t>
      </w:r>
    </w:p>
    <w:p>
      <w:r>
        <w:rPr>
          <w:b/>
        </w:rPr>
        <w:t>E. 3</w:t>
      </w:r>
    </w:p>
    <w:p>
      <w:r>
        <w:t>juillet 2020, des extraits du Registre foncier concernant les biens dont il est propriétaire, ainsi qu’un extrait de son compte de libre passage [...] n° [...] daté du 11 juin 2020. En principe, dans la mesure où la question des avoirs de prévoyance professionnelle est soumise à la maxime inquisitoire atténuée, ces moyens de preuve doivent remplir les conditions prévues à l’art. 317 al. 1 CPC pour être admissibles. Vu la particularité de la présente cause et les explications formulées par l’appelant dans les motifs de son appel (pour le détail, cf. consid. 4.2 infra), il y a en l’occurrence lieu de considérer que celui-ci n’était pas en mesure de produire ces moyens de preuve devant l’autorité de première instance. Par conséquent, ces pièces et les faits qui en découlent apparaissent recevables et il en sera tenu compte dans une mesure utile à la compréhension de la présente cause. L’appelant a également produit une lettre de son conseil actuel à Me [...] du 30 octobre 2020. Postérieure au jugement de première instance, cette pièce est recevable.</w:t>
      </w:r>
    </w:p>
    <w:p>
      <w:r>
        <w:rPr>
          <w:b/>
        </w:rPr>
        <w:t>E. 3.1</w:t>
      </w:r>
    </w:p>
    <w:p>
      <w:r>
        <w:t>; TF 5A_599/2007 du 8 octobre 2008 consid. 6.4.1 ; TF 5C.163/2006 du 3 novembre 2006 consid. 4.1). Le juge dispose à cet égard d'un large pouvoir d'appréciation, l'adverbe « manifestement » utilisé par le législateur montrant que seuls des écarts importants par rapport à une solution équitable peuvent conduire à un refus de ratifier (TF 5A_74/2014 du 5 août 2014 consid. 3.1).</w:t>
      </w:r>
    </w:p>
    <w:p>
      <w:r>
        <w:rPr>
          <w:b/>
        </w:rPr>
        <w:t>E. 3.2</w:t>
      </w:r>
    </w:p>
    <w:p>
      <w:r>
        <w:t>L’appelant a produit des échanges de courriers entre Me [...] et lui entre le 10 février et le 10 juillet 2020, une preuve de paiement du</w:t>
      </w:r>
    </w:p>
    <w:p>
      <w:r>
        <w:rPr>
          <w:b/>
        </w:rPr>
        <w:t>E. 4</w:t>
      </w:r>
    </w:p>
    <w:p>
      <w:r>
        <w:t>L’appelant fait valoir que la convention signée par les parties et ratifiée par le premier juge serait inéquitable et devrait être annulée, en particulier en ce qui concerne le partage des avoirs de prévoyance professionnelle. Il considère que les conditions prévues à l’art. 279 al. 1 CPC n’auraient pas été respectées par le premier juge. Il invoque également une violation de l’art. 124b CC.</w:t>
      </w:r>
    </w:p>
    <w:p>
      <w:r>
        <w:rPr>
          <w:b/>
        </w:rPr>
        <w:t>E. 4.1</w:t>
      </w:r>
    </w:p>
    <w:p>
      <w:r>
        <w:t>- 10 -</w:t>
      </w:r>
    </w:p>
    <w:p>
      <w:r>
        <w:rPr>
          <w:b/>
        </w:rPr>
        <w:t>E. 4.1.1</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(TF 5A_378/2015 du 15 mars 2016 consid. 5, publié in FamPra.ch 2016 p. 719). S'agissant du premier critère, le juge doit avant tout contrôler que les parties aient compris les dispositions de leur convention et les conséquences qu'elles impliquent et veiller notamment à ce que la convention n'ait pas été conclue dans la précipitation ou acceptée par lassitude. La mûre réflexion ne concerne pas la manière, mais le résultat du processus de formation de la volonté. Une certaine pression du temps ne permet pas de conclure en soi à un résultat insuffisamment réfléchi du processus de formation de la volonté. La convention n'est pas sujette à discussion du seul fait qu'il est passé sans transition des discussions transactionnelles à la signature de la convention, le juge n'étant pas tenu de fixer d'office un délai de réflexion ou de faire signer la convention sous réserve d'un droit de révocation (TF 5A_96/2018 du 13 août 2018 consid. 2.2.6, FamPra.ch 2018 p. 1025). En ce qui concerne le plein gré des parties, le juge doit s'assurer que celles-ci ont formé leur volonté et l'ont communiquée librement ; cela présuppose qu'elles n'ont conclu leur convention ni sous l'emprise d'une erreur (art. 23 ss CO [loi fédérale complétant le Code civil suisse du 30 mars 2011 ; RS 220]), ni sous celle du dol (art. 28 CO) ou de la menace (art. 29 s. CO) (TF 5A 683/2014 du 18 mars 2015 consid. 6.1 et les références citées). Cette dernière condition n'oblige toutefois pas le juge à rechercher des vices du consentement cachés, la maxime des débats étant applicable ; la partie victime d'un vice du consentement supporte ainsi le fardeau de l'allégation et le fardeau de</w:t>
      </w:r>
    </w:p>
    <w:p>
      <w:r>
        <w:t>- 11 - la preuve de ce vice (art. 8 CC ; TF 5A_74/2014 du 5 août 2014 consid. 4.1 et les références citées). Pour vérifier que les parties ont conclu leur convention sur les effets accessoires du divorce après mûre réflexion et de leur plein gré, le texte de l'art. 279 CPC n'oblige pas le juge à procéder à une audition séparée des parties. Certes, en vertu de l'art. 111 al. 1 CC, le prononcé du divorce sur requête commune avec accord complet suppose une telle audition, qui doit alors porter sur le principe du divorce et sur les effets accessoires (cf. Sandoz, Commentaire romand, Code civil, vol. I, 2010, n. 10 ad art. 111 CC). Mais le point de savoir si, en tant que telle, la ratification d'une convention sur effets accessoires nécessite une audition séparée des parties, notamment dans les procès en modification du jugement de divorce où le principe même de la dissolution du mariage est déjà acquis, est controversé. Selon certains commentateurs, l'audition séparée des parties est impérative (cf. Stein-Wigger, in Schwenzer/Fankhauser, FamKomm Scheidung, vol. Il, 3e éd. 2017, n. 11 ad art. 279 CPC ; Bernasconi, in Trezzini et al., Commentario pratico al Codice di diritto processuale civile svizzero, vol. 2, 2e éd. 2017, n. 3 ad art. 279 CPC, qui renvoie à l'art. 287 CPC, lequel renvoie au code civil, notamment à l'art. 111 CC, et qui semble ainsi d'avis qu'une audition séparée soit nécessaire). Mais, selon un autre commentateur, le juge doit en règle générale (« in der Regel ») – et non toujours – entendre séparément les parties (cf. Gut, in Sutter-Somm et al., Kommentar zur Schweizerischen Zivilprozessordnung, 2e éd., 2013, n. 11 ad art. 279 CPC). En outre, l'un des commentateurs qui considèrent impérativement nécessaire l'audition séparée des parties mentionne expressément l'existence d'une pratique judiciaire contraire, consistant à se dispenser de cette opération si les parties en font la demande, et il juge cette pratique non pas illégale, mais seulement délicate, épineuse (« heikel » ; cf. Stein-Wigger, ibid.). Dans ces conditions, il y a lieu de considérer que, lorsque les parties ont renoncé expressément à être entendues séparément et que le juge dispose d'autres moyens suffisants pour vérifier qu'elles ont conclu la convention de leur plein gré et après mûre réflexion, l'absence d'audition séparée des parties n'invalide pas la ratification d'une convention sur effets accessoires</w:t>
      </w:r>
    </w:p>
    <w:p>
      <w:r>
        <w:t>- 12 - du divorce. C'est seulement pour la vérification de l'accord des parties sur le principe du divorce que la loi (art. 111 al. 1 CC) prescrit impérativement l'audition séparée de celles-ci, la confirmation de la volonté de divorcer dans le cadre d'une telle audition étant l'un des éléments constitutifs du motif de divorce (cf. Rumo-Jungo, in Breitschmid/Rumo-Jungo, Handkommentar zum Schweizer Privatrecht, 2e éd. 2012, n. 17 ad art. 111 CC et la référence citée).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consid.</w:t>
      </w:r>
    </w:p>
    <w:p>
      <w:r>
        <w:rPr>
          <w:b/>
        </w:rPr>
        <w:t>E. 4.1.2.1</w:t>
      </w:r>
    </w:p>
    <w:p>
      <w:r>
        <w:t>Selon l'art. 122 CC, les prétentions de prévoyance professionnelle acquises durant le mariage et jusqu'à l'introduction de la procédure de divorce sont partagées entre les époux.</w:t>
      </w:r>
    </w:p>
    <w:p>
      <w:r>
        <w:rPr>
          <w:b/>
        </w:rPr>
        <w:t>E. 4.1.2.2</w:t>
      </w:r>
    </w:p>
    <w:p>
      <w:r>
        <w:t>En vertu de l’art. 124b CC, les époux peuvent, dans une convention sur les effets du divorce, s’écarter du partage par moitié ou renoncer au partage de la prévoyance professionnelle, à condition qu’une prévoyance vieillesse et invalidité adéquate reste assurée (al. 1).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w:t>
      </w:r>
    </w:p>
    <w:p>
      <w:r>
        <w:t>- 13 - époux après le divorce (al. 2 ch. 1) ou des besoins de prévoyance de chacun des époux, compte tenu notamment de leur différence d’âge (al. 2 ch. 2). L’art. 124b al. 1 CC prévoit qu'une prévoyance vieillesse et invalidité « adéquate » doit rester assurée. La notion de prévoyance « adéquate » est moins étroite que celle de prévoyance « équivalente », le nouveau droit ayant assoupli l'exigence quantitative. A cet égard, le juge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(TF 5D_148/2017 du 13 octobre 2017 consid. 4.1 et les références citées). Le texte de l'art. 124b al. 2 CC prévoit la possibilité pour le juge de s'écarter du principe du partage par moitié pour de justes motifs et mentionne deux catégories d'exemples à ses chiffres 1 et 2, sans toutefois préciser plus avant cette notion (ATF 145 III 56 consid. 5.3.2 ; TF 5A_819/2019 du 13 octobre 2020 consid. 3.2.1 et l’arrêt cité). Selon le Message du Conseil fédéral, il y a par exemple iniquité lorsqu'une épouse active finance la formation de son mari et que celui-ci va exercer une profession qui lui permettra de se constituer une meilleure prévoyance vieillesse que sa femme (TF 5A_79/2009 du 28 mai 2009 consid. 2.1). De même, il y a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pp. 4370 s. ad art. 124b CC [ci-après : le Message]).</w:t>
      </w:r>
    </w:p>
    <w:p>
      <w:r>
        <w:t>- 14 -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5A_819/2019 du 13 octobre 2020 consid. 3.2.1 ; TF 5A_153/2019 du 3 septembre 2019 consid. 6.3.2), le partage de la prévoyance professionnelle devant, dans l'idéal, permettre aux deux conjoints de disposer d'un avoir de prévoyance de qualité égale (Message, FF 2013, p. 4349).</w:t>
      </w:r>
    </w:p>
    <w:p>
      <w:r>
        <w:rPr>
          <w:b/>
        </w:rPr>
        <w:t>E. 4.1.2.3</w:t>
      </w:r>
    </w:p>
    <w:p>
      <w:r>
        <w:t>L’art. 280 al. 1 CPC, dans sa nouvelle version en vigueur depuis le 1er janvier 2017, prévoit notamment que le tribunal ratifie la convention de partage des prestations de sortie prévues par la prévoyance professionnelle lorsque les époux se sont entendus sur le partage et les modalités de son exécution (a), lorsque les institutions de prévoyance professionnelle concernées confirment le montant des prestations de sortie à partager et attestent que l’accord est réalisable (b) et lorsque le tribunal est convaincu que la convention est conforme à la loi. Selon l’al. 3 de cette disposition, si la convention précise que les époux s’écartent du partage par moitié ou renoncent au partage de la prévoyance professionnelle, le tribunal vérifie d’office qu’une prévoyance vieillesse et invalidité adéquate reste assurée.</w:t>
      </w:r>
    </w:p>
    <w:p>
      <w:r>
        <w:rPr>
          <w:b/>
        </w:rPr>
        <w:t>E. 4.2</w:t>
      </w:r>
    </w:p>
    <w:p>
      <w:r>
        <w:t>L’appelant considère que son accord à la convention sur les effets accessoires du divorce signée les 10 et 14 juillet 2020, dans lequel il a en particulier renoncé au partage des avoirs de prévoyance professionnelle, serait manifestement vicié, puisqu’il ignorait, au moment de passer cet accord, ses droits à cet égard et le montant qu’un tel partage lui aurait selon lui procuré. Il relève en outre que la ratification de cette convention serait entachée d’un vice de procédure important, dès lors que les parties n’ont pas été entendues séparément par le premier juge et que, ce faisant, celui-ci ne se serait pas assuré qu’il avait bel et bien compris la portée de la convention de divorce qu’il a signée. Il estime qu’il n’y avait en l’occurrence pas lieu de renoncer à entendre les parties séparément, puisque son épouse était assistée par un conseil et qu’il</w:t>
      </w:r>
    </w:p>
    <w:p>
      <w:r>
        <w:t>- 15 - n’était lui-même pas assisté par un mandataire professionnel, comme cela ressortirait de divers courriers de Me [...]. Sur ce point, l’appelant relève que c’est à tort que le premier juge a retenu que les parties étaient assistées d’un conseil commun. Par ailleurs, l’appelant reproche au premier juge d’avoir considéré qu’une renonciation par les parties au partage de leurs avoirs de prévoyance professionnelle était possible. Il estime pour sa part qu’une telle renonciation serait manifestement inéquitable. L’appelant relève en effet d’une part qu’il s’est acquitté d’un montant de 51'500 fr. pour régler les prétentions selon lui injustifiées de son épouse relatives à la liquidation du régime matrimonial. Il ajoute d’autre part que le fait d’avoir disposé d’un montant de l’ordre 67'000 fr. sur un compte de libre passage, qu’il indique avoir utilisé pour régler le montant de 51'500 fr. précité, n’était pas à même de justifier qu’il soit renoncé au partage des avoirs de prévoyance profession-nelle, alors que l’épouse disposait elle de tels avoirs pour plus de 200'000 fr. et qu’elle avait de surcroît obtenu des compensations dans le cadre de la liquidation du régime matrimonial.</w:t>
      </w:r>
    </w:p>
    <w:p>
      <w:r>
        <w:rPr>
          <w:b/>
        </w:rPr>
        <w:t>E. 4.3</w:t>
      </w:r>
    </w:p>
    <w:p>
      <w:r>
        <w:t>Le premier juge a tout d’abord relevé que l’appelant percevait une rente AVS de 2'010 fr. par mois et qu’il disposait d’une fortune immobilière nette (réd.) d’environ 315'000 francs. Il a ajouté qu’au 31 décembre 2019, il subsistait sur un compte de libre passage ouvert au nom de l’intéressé un avoir de prévoyance professionnelle de 67'231 fr. 28. Selon le premier juge, l’intimée avait quant à elle réalisé un revenu annuel net d’environ 70'000 fr., soit 5'800 fr. par mois, et elle bénéficierait à l’âge de la retraite d’une rente d’environ 3'000 fr., sa fortune imposable représentant un montant d’environ 20'000 francs. De plus, au 31 mars 2020, l’avoir de prévoyance professionnelle accumulé durant le mariage par l’intéressé s’élevait à 278'652 francs. Ensuite, l’autorité de première instance a indiqué que les parties avaient, lors de l’audience, confirmé leur volonté de divorcer, ainsi que les termes de la convention réglant les effets du divorce qu’elles avaient signées les 10 et 14 juillet 2020, et qu’elles avaient renoncé à leur</w:t>
      </w:r>
    </w:p>
    <w:p>
      <w:r>
        <w:t>- 16 - audition séparée. Les parties avaient par ailleurs déclaré avoir conclu au divorce et signé la convention après mûre réflexion et de leur plein gré. S’agissant des avoirs de prévoyance professionnelle, le premier juge a considéré que la renonciation au partage de ceux-ci était admissible, parce que l’intimée allait disposer, à l’âge de la retraite, à savoir en novembre 2020, d’une prévoyance professionnelle satisfaisante et qu’il en allait de même pour l’appelant, dans la mesure où il subsistait, sur un compte de libre passage ouvert au nom de celui-ci, un solde suffisant. Il a ajouté que la renonciation des parties à toute contribution d’entretien après divorce était admissible au regard de leur situation financière respective et en raison du fait que l’appelant verserait à l’intimée un montant de 50'000 fr. pour solde de tout compte et de toute prétention. Enfin, selon le premier juge, les parties s’étaient entendues sur les modalités de liquidation de leur régime matrimonial, de sorte que celui-ci était liquidé à leur satisfaction.</w:t>
      </w:r>
    </w:p>
    <w:p>
      <w:r>
        <w:rPr>
          <w:b/>
        </w:rPr>
        <w:t>E. 4.4.1</w:t>
      </w:r>
    </w:p>
    <w:p>
      <w:r>
        <w:t>En l’espèce, comme l’a mentionné le tribunal, il s’avère que les parties ont toutes deux renoncé à leur audition séparée et qu’elles ont confirmé que c’était après mûre réflexion et de leur plein gré qu’elles avaient conclu au divorce et signé la convention litigieuse. A aucun moment l’appelant n’invoque le fait que ce qui a été retenu sur ce point par le premier juge serait erroné et qu’il n’aurait donc pas renoncé à son audition séparée. En outre, quand bien même il convient d’admettre, comme cela ressort par ailleurs du procès-verbal de l’audience du 15 septembre 2020, que l’appelant n’était, au contraire de son épouse, pas assisté d’un mandataire professionnel, il conservait la possibilité d’être entendu séparément et rien ne l’empêchait de ne pas renoncer à son audition séparée, respectivement de solliciter celle-ci lorsque cette question a été abordée en audience. Or, dans un tel cas de figure (cf. consid. 4.1.1 supra), l’absence d’audition séparée n’est pas de nature à invalider la ratification de la convention sur les effets du divorce si le juge dispose d'autres moyens suffisants pour vérifier que les parties ont conclu la convention de leur</w:t>
      </w:r>
    </w:p>
    <w:p>
      <w:r>
        <w:t>- 17 - plein gré et après mûre réflexion, seule la vérification de l'accord des parties sur le principe du divorce prescrivant impérativement l'audition séparée de celles-ci. En l’espèce, comme on le verra dans le détail ci- dessous (cf. consid. 4.4.2 infra), le premier juge s’est fondé sur l’entier du dossier pour retenir que les conditions figurant dans ladite convention étaient admissibles, en particulier s’agissant des avoirs de prévoyance professionnelle. Ainsi, il convient de considérer que le juge disposait en l’occurrence de moyens suffisants pour vérifier que les parties avaient conclu la convention sur les effets accessoires du divorce de leur plein gré et après mûre réflexion. Par conséquent, l’absence d’audition séparée des parties n’est, dans le cas d’espèce, pas de nature à invalider la ratification de la convention signée les 10 et 14 juillet 2020, si bien que l’appelant ne saurait être suivi lorsqu’il soutient que la ratification de celle-ci serait entachée d’un vice de procédure important.</w:t>
      </w:r>
    </w:p>
    <w:p>
      <w:r>
        <w:rPr>
          <w:b/>
        </w:rPr>
        <w:t>E. 4.4.2</w:t>
      </w:r>
    </w:p>
    <w:p>
      <w:r>
        <w:t>L’appelant se méprend lorsqu’il expose que c’est sans raison que le premier juge a ratifié la convention sur les effets accessoires du divorce. Dans son jugement, celui-ci a en effet considéré que les termes de la convention étaient clairs et complets, et a exposé les motifs pour lesquels il a estimé que cette convention n’était pas manifestement inéquitable. Afin de parvenir à cette conclusion, et donc de considérer qu’il était admissible que les parties renoncent en particulier à toute contribution d’entretien après divorce et au partage de leur avoir de prévoyance professionnelle, le premier juge s’est fondé sur la situation financière respective des époux, sur le fait que l’appelant verserait à l’intimée une somme de 50'000 fr. pour solde de tout compte et de toute prétention et sur le fait que les parties disposeraient d’un solde de prévoyance professionnelle satisfaisant ou suffisant. Il ressort de la jurisprudence précitée que si la solution conventionnelle adoptée par les parties présente une différence immédiatement reconnaissable par rapport au jugement qui aurait été rendu et qu’elle s’écarte de la réglementation légale sans que des</w:t>
      </w:r>
    </w:p>
    <w:p>
      <w:r>
        <w:t>- 18 - considérations d’équité le justifient, elle peut être qualifiée de « manifestement inéquitable ». Afin de déterminer le caractère inéquitable de la transaction, le juge dispose d’un large pouvoir d’appréciation. De plus, l’adverbe « manifestement » utilisé par le législateur montre que seuls des écarts importants par rapport à une solution équitable peut conduire à un refus de ratification de la convention. Au vu des éléments au dossier, l’intimée, qui a renoncé à toute contribution d’entretien et à toute prétention moyennant le versement de la somme de 50'000 fr., dispose d’une rente mensuelle de l’ordre de 3'000 fr. par mois, d’une fortune de l’ordre de 20'000 fr. et d’avoirs de prévoyance professionnelle de 278'652 fr. (état au 31 mars 2020). Pour sa part, l’appelant bénéficie d’une rente AVS de 2'010 fr. par mois et d’une fortune nette, pour l’essentiel immobilière, partiellement acquise avant le mariage, estimée à environ 315'000 francs. A la fin de l’année 2019, il disposait en outre, sur un compte de libre passage, de la somme de 67'231 fr. 28. D’après l’extrait de ce compte qu’il a produit en appel, ce montant lui a été versé en juin 2020 pour, selon ses explications, s’acquitter de la somme de 51'500 fr. destinée à son épouse et au paiement des frais de justice. Si l’on tient compte des explications de l’appelant, celui-ci disposait ainsi encore, au moment du jugement de première instance, d’un montant de l’ordre de 15’000 fr. provenant de ce compte de libre passage. Enfin, on peut ajouter que l’appelant ne paie pas de loyer, au contraire de son épouse, qui doit s’acquitter d’un montant de 1'200 fr. par mois à ce titre, montant auquel s’ajoute un loyer pour le parking. Compte tenu de la situation respective des époux telle qu’elle est décrite ci-dessus et des pièces du dossier, la solution adoptée par les parties dans leur convention n’apparait en l’occurrence pas présenter une différence immédiate-ment reconnaissable par rapport au jugement qui aurait été rendu sans cette convention, de sorte qu’il y a lieu de considérer que la convention sur les effets du divorce conclue entre les parties ne paraît pas manifestement inéquitable. Le premier juge pouvait</w:t>
      </w:r>
    </w:p>
    <w:p>
      <w:r>
        <w:t>- 19 - dès lors valablement, vu son large pouvoir d’appréciation à cet égard, ratifier la convention proposée par les parties. Enfin, il est vrai que les avoirs de prévoyance professionnelle de chaque époux présentent une grande différence, l’appelant ne semblant disposer que d’un solde de l’ordre de 15'000 fr., alors que l’intimée bénéficie d’un montant de 278'652 fr. (état au 31 mars 2020). Cela étant, selon la jurisprudence, afin de déterminer si une prévoyance adéquate peut être assurée, le juge peut tenir compte de l'ensemble des avoirs détenus par les parties, y compris ceux qu'elles détenaient avant le mariage. Or, en l’occurrence, l’appelant, s’il ne détient que de faibles avoirs de prévoyance professionnelle, dispose d’une fortune immobilière nette non négligeable, de l’ordre de 315'000 fr., vit dans un logement dont il est propriétaire et ne paie pas de loyer à ce titre. L’intimée n’est quant à elle pas propriétaire de son logement et se voit donc dans l’obligation de s’acquitter d’un loyer de 1'200 fr. par mois au moins, plus le parking. Elle détient certes des avoirs de prévoyance professionnelle de l’ordre de 270'000 fr. et s’est vu verser une somme de 50'000 fr. de la part de son époux, mais sa fortune, de 20'000 fr., est largement inférieure à celle de l’appelant. De plus, on peut présumer que la rente mensuelle de l’ordre de 3'000 fr. qu’elle perçoit depuis sa retraite est calculée en tenant compte de ses avoirs de prévoyance, eu égard au montant de la rente AVS simple (de 2'390 fr. en 2021). Dans cette mesure, la situation financière respective des époux paraît s’équilibrer, si bien que la renonciation des parties au partage des avoirs de prévoyance professionnelle paraît tout de même admissible.</w:t>
      </w:r>
    </w:p>
    <w:p>
      <w:r>
        <w:rPr>
          <w:b/>
        </w:rPr>
        <w:t>E. 5</w:t>
      </w:r>
    </w:p>
    <w:p>
      <w:r>
        <w:t>En définitive, l’appel, manifestement infondé, doit être rejeté dans la mesure de sa recevabilité selon le mode procédural de l’art. 312 al. 1 in fine CPC et le jugement attaqué confirmé. Les frais judiciaires de deuxième instance, arrêtés à 1’200 fr. (art. 63 al. 2 TFJC [tarif des frais judiciaires en matière civile du 28 septembre 2010 ; BLV 270.11.5]), seront mis à la charge de l’appelant, qui succombe (art. 106 al. 1 CPC).</w:t>
      </w:r>
    </w:p>
    <w:p>
      <w:r>
        <w:t>- 20 -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