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JD20.024889 vom 19. September 2024</w:t>
      </w:r>
    </w:p>
    <w:p>
      <w:r>
        <w:t>VD Tribunal cantonal, 2024-09-19, FR</w:t>
      </w:r>
    </w:p>
    <w:p>
      <w:r>
        <w:rPr>
          <w:b/>
        </w:rPr>
        <w:t xml:space="preserve">Quelle: </w:t>
      </w:r>
      <w:r>
        <w:t>https://mcp.opencaselaw.ch/entscheid/vd_gerichte_JD20.024889</w:t>
      </w:r>
    </w:p>
    <w:p>
      <w:r>
        <w:t>FR: VD_GERICHTE JD20.024889 du 19 septembre 2024</w:t>
      </w:r>
    </w:p>
    <w:p>
      <w:r>
        <w:t>IT: VD_GERICHTE JD20.024889 del 19 settembre 2024</w:t>
      </w:r>
    </w:p>
    <w:p>
      <w:pPr>
        <w:pStyle w:val="Heading2"/>
      </w:pPr>
      <w:r>
        <w:t>Erwägungen</w:t>
      </w:r>
    </w:p>
    <w:p>
      <w:r>
        <w:rPr>
          <w:b/>
        </w:rPr>
        <w:t>E. 1</w:t>
      </w:r>
    </w:p>
    <w:p>
      <w:r>
        <w:t>B.________ et Q.________ se sont mariés le 18 novembre 2003.</w:t>
      </w:r>
    </w:p>
    <w:p>
      <w:r>
        <w:t>- 3 - B.________ a ouvert action en divorce par demande unilatérale du 29 juin 2020. A l’audience de conciliation tenue le 7 octobre 2020, Q.________ a acquiescé au principe du divorce, la conciliation a échoué pour le surplus.</w:t>
      </w:r>
    </w:p>
    <w:p>
      <w:r>
        <w:rPr>
          <w:b/>
        </w:rPr>
        <w:t>E. 1.2</w:t>
      </w:r>
    </w:p>
    <w:p>
      <w:r>
        <w:t>En l'espèce, le recours, écrit et motivé (art. 321 al. 1 CPC), a été formé en temps utile par une personne disposant d'un intérêt digne de protection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t>- 5 - 3.</w:t>
      </w:r>
    </w:p>
    <w:p>
      <w:r>
        <w:rPr>
          <w:b/>
        </w:rPr>
        <w:t>E. 2</w:t>
      </w:r>
    </w:p>
    <w:p>
      <w:r>
        <w:t>Par décisions des 6 juillet et 12 octobre 2020, le président a accordé l’assistance judiciaire à Q.________, avec effet au 28 février 2020, et a désigné la recourante en qualité de conseil d’office.</w:t>
      </w:r>
    </w:p>
    <w:p>
      <w:r>
        <w:rPr>
          <w:b/>
        </w:rPr>
        <w:t>E. 3</w:t>
      </w:r>
    </w:p>
    <w:p>
      <w:r>
        <w:t>Lors de l’audience de premières plaidoiries du 10 février 2022, la conciliation n’ayant pas abouti, une ordonnance de preuves a été rendue le 25 mars 2022 par laquelle une expertise notariale a été ordonnée.</w:t>
      </w:r>
    </w:p>
    <w:p>
      <w:r>
        <w:rPr>
          <w:b/>
        </w:rPr>
        <w:t>E. 3.1</w:t>
      </w:r>
    </w:p>
    <w:p>
      <w:r>
        <w:t>La recourante se plaint des réductions effectuées par le premier juge de la durée des opérations figurant dans sa liste du 26 juillet 2024, soit d'une durée de 4 heures et 15 minutes pour la réception des courriers, courriels et des pièces, d'une durée de 3 heures et 35 minutes pour les échanges de courriers avec la cliente, la partie adverse ou les experts et, enfin d'une durée de 30 minutes pour la rédaction de déterminations. Elle invoque une violation de son droit d'être entendue, la complexité de la cause, l'absence de clarification demandée par le premier juge pour soutenir qu'aucun de ces retranchements n'était justifié.</w:t>
      </w:r>
    </w:p>
    <w:p>
      <w:r>
        <w:rPr>
          <w:b/>
        </w:rPr>
        <w:t>E. 3.2.1</w:t>
      </w:r>
    </w:p>
    <w:p>
      <w:r>
        <w:t>Selon l'art. 122 al. 1 let. a CPC, le conseil juridique commis d'office est rémunéré équitablement par le canton. Cette notion de « rémunération équitable », aux contours imprécis, doit permettre aux cantons de fixer, sur la base d'un large pouvoir d'appréciation, le montant de l'indemnité allouée au conseil d'office dans les limites de leur tarif des frais (art. 96 CPC ; TF 5D_118/2021 du 15 octobre 2021 consid. 5.1 .1 ; TF 5A_82/2018 du 15 juin 2018 consid. 6.2.1 et les réf. citées).</w:t>
      </w:r>
    </w:p>
    <w:p>
      <w:r>
        <w:rPr>
          <w:b/>
        </w:rPr>
        <w:t>E. 3.2.2</w:t>
      </w:r>
    </w:p>
    <w:p>
      <w:r>
        <w:t>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5D_4/2018 du 17 avril 2018</w:t>
      </w:r>
    </w:p>
    <w:p>
      <w:r>
        <w:t>- 6 -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w:t>
      </w:r>
    </w:p>
    <w:p>
      <w:r>
        <w:rPr>
          <w:b/>
        </w:rPr>
        <w:t>E. 3.2.3</w:t>
      </w:r>
    </w:p>
    <w:p>
      <w:r>
        <w:t>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w:t>
      </w:r>
    </w:p>
    <w:p>
      <w:r>
        <w:rPr>
          <w:b/>
        </w:rPr>
        <w:t>E. 3.2.4</w:t>
      </w:r>
    </w:p>
    <w:p>
      <w:r>
        <w:t>Le temps consacré à la prise de connaissance de courriers ou de courriels n'impliquant qu'une lecture cursive et brève ne peut pas être pris en compte à titre d'activité déployée par l'avocat et n'a pas à être rémunéré (CACI 22 mars 2017/124 ; CCUR 29 novembre 2016/266 ; CREC 3 août 2016/301). Le temps indiqué pour la rédaction de mémos ou d'avis de transmission (5 ou 10 minutes) ne peut être pris en compte à titre d'activité déployée par l'avocat, s'agissant de pur travail de secrétariat (CREC 6 novembre 2023/228 ; CREC 11 août 2017/294 ; CREC 3 août</w:t>
      </w:r>
    </w:p>
    <w:p>
      <w:r>
        <w:t>- 7 - 2016/301).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(CCUR 25 octobre 2017/204 ; CACI 22 mars 2017/124 ; CREC 3 août 2016/301). Il est admissible de considérer que les opérations correspondant à l'envoi de courriels au client le même jour qu'un courrier à la partie adverse et/ou au tribunal, toutes comptabilisées de manière forfaitaire à 12 minutes, constituent manifestement des mémos non facturables (CREC 6 novembre 2023 ; CREC 15 août 2022/188). C'est à l'avocat d'office de démontrer que les opérations pour lesquelles il entend être indemnisé étaient justifiées, quitte à fournir une note explicative avec sa note de frais (CREC 6 novembre 2023/228 consid. 3.3.2).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w:t>
      </w:r>
    </w:p>
    <w:p>
      <w:r>
        <w:rPr>
          <w:b/>
        </w:rPr>
        <w:t>E. 3.3</w:t>
      </w:r>
    </w:p>
    <w:p>
      <w:r>
        <w:t>D'abord, on ne discerne aucune violation du droit d'être entendu, le premier juge ayant clairement indiqué pour quel motif et pour quelle durée il procédait aux réductions contestées de la liste des opérations présentée par le conseil d'office.</w:t>
      </w:r>
    </w:p>
    <w:p>
      <w:r>
        <w:t>- 8 - Ensuite et contrairement à ce que soutient la recourante, le premier juge n'avait pas à l'interpeller avant de s'écarter des décomptes produits. Le droit d'être entendu n'oblige en effet pas l'autorité à donner à l'avocat, dans chaque cas, l'occasion de fournir des explications ultérieures, une réduction de la créance des honoraires de l'avocat sans audition complémentaire ne devant en principe pas être considérée comme une violation du droit d'être entendu (TF 5A_705/2014 du 15 octobre 2014 consid. 7.1, SJ 2015 1 78 ; TF 5D_54/2014 du 1er juillet 2014 consid. 1.4 ; cf. CREC 14 septembre 2015/332, lequel rappelle qu'une telle pratique d'interpellation n'a pas cours). C'est donc à la recourante qu'il appartenait de démontrer que les opérations pour lesquelles elle entendait être indemnisée étaient justifiées, quitte à fournir une note explicative avec sa note de frais. Enfin, en ce qui concerne le motif et la durée des réductions effectuées par le premier juge, la recourante perd de vue qu'elle ne peut pas se borner à opposer sa propre version à celle du juge, mais doit en démontrer le caractère arbitraire. Or, de jurisprudence constante, le temps consacré à la lecture de courriers ou la rédaction de mémos ou d'avis de transmission n'a pas, sauf circonstances spéciales, à être pris en compte et c'est donc sans arbitraire que le premier juge a déduit 4 heures et 15 minutes pour la lecture de courriers ou de pièces et a réduit le temps de rédaction de brefs courriers à la cliente, la partie adverse ou les experts de 15 à 10 minutes. De la même manière, le fait que le premier juge ait estimé suffisant une durée de 3 heures pour la rédaction des déterminations, vu la nature du litige et la difficulté de la cause, n'a manifestement rien d'arbitraire, puisque la recourante a facturé 3 heures et 30 minutes pour cette opération. On ne discerne en tout cas aucun excès du pouvoir d’appréciation du premier juge. 4. En définitive, le recours doit être rejeté. Vu l’issue du recours, les frais judiciaires de deuxième instance, arrêtés à 100 fr. (art. 69 al. 1 TFJC [Tarif des frais judiciaires civils</w:t>
      </w:r>
    </w:p>
    <w:p>
      <w:r>
        <w:t>- 9 - du 28 septembre 2010 ; BLV 270.11.5]), seront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V.________. IV. L’arrêt est exécutoire. La vice-présidente : La greffière : Du L'arrêt qui précède, dont la rédaction a été approuvée à huis clos, est notifié à : - Me V.________, - Mme Q.________, personnellement.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4</w:t>
      </w:r>
    </w:p>
    <w:p>
      <w:r>
        <w:t>Les parties ont produit une convention sur les effets du divorce qu’elles ont signée le 29 avril 2024 et dont elles ont requis la ratification. Lors de l’audience du 17 juillet 2024, les parties ont confirmé leur volonté de divorcer et les termes de leur convention du 29 avril 2024.</w:t>
      </w:r>
    </w:p>
    <w:p>
      <w:r>
        <w:rPr>
          <w:b/>
        </w:rPr>
        <w:t>E. 5</w:t>
      </w:r>
    </w:p>
    <w:p>
      <w:r>
        <w:t>La recourante a transmis sa liste des opérations le 26 juillet 2024. En d roit : 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[ci-après : le CR-CPCI, 2e éd., Bâle 2019, n. 21 ad art. 122 CPC). L'art. 122 al. 1 let. a CPC figure au chapitre qui réglemente l'assistance judiciaire et qui comprend les art. 117</w:t>
      </w:r>
    </w:p>
    <w:p>
      <w:r>
        <w:t>- 4 -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(CREC 27 février 2024/52 consid. 1.1; CREC 18 octobre 2023/206 consid. 1.1).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5D_11/2022 du 25 mars 2022 consid. 1.3 ; TF 5D_7/2019 du 5 août 2019 consid. 1.3 non publié in ATF 145 Il 433 ; CREC 27 février 2024/52 ; Tappy, op. cit., n. 22 ad art. 122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