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JD17.048238 vom 20. Juli 2018</w:t>
      </w:r>
    </w:p>
    <w:p>
      <w:r>
        <w:t>VD Tribunal cantonal, 2018-07-20, FR</w:t>
      </w:r>
    </w:p>
    <w:p>
      <w:r>
        <w:rPr>
          <w:b/>
        </w:rPr>
        <w:t xml:space="preserve">Quelle: </w:t>
      </w:r>
      <w:r>
        <w:t>https://mcp.opencaselaw.ch/entscheid/vd_gerichte_JD17.048238</w:t>
      </w:r>
    </w:p>
    <w:p>
      <w:r>
        <w:t>FR: VD_GERICHTE JD17.048238 du 20 juillet 2018</w:t>
      </w:r>
    </w:p>
    <w:p>
      <w:r>
        <w:t>IT: VD_GERICHTE JD17.048238 del 20 luglio 2018</w:t>
      </w:r>
    </w:p>
    <w:p>
      <w:pPr>
        <w:pStyle w:val="Heading2"/>
      </w:pPr>
      <w:r>
        <w:t>Erwägungen</w:t>
      </w:r>
    </w:p>
    <w:p>
      <w:r>
        <w:rPr>
          <w:b/>
        </w:rPr>
        <w:t>E. 1.1</w:t>
      </w:r>
    </w:p>
    <w:p>
      <w:r>
        <w:t>L’art. 110 CPC (Code de procédure civile du 19 décembre 2008 ; RS 272) ouvre la voie du recours de l’art. 319 let. b ch. 1 CPC contre les décisions fixant l’indemnité du conseil d’office (art. 122 al. 1 let. a CPC), cette indemnité étant considérée comme des frais au sens de l’art. 95 CPC (TF 5A_120/2016 du 26 mai 2016 consid. 2.1 ; CREC 15 avril 2014/140 ; Tappy, CPC commenté, 2011, n. 21 ad art. 122 CPC). Le recours, écrit et motivé, doit être introduit auprès de l'instance de recours, en l'occurrence la Chambre des recours civile (art. 73 al. 1 LOJV [loi d'organisation judiciaire du 12 décembre 1979 ; RSV 173.01]). La décision sur la rémunération du conseil d’office, prise dans une procédure sommaire (art. 119 al. 3 CPC par analogie), est soumise à un délai de recours de 10 jours (art. 321 al. 2 CPC ; CREC 24 août 2016/343 ; CREC 23 décembre 2015/44). La computation et l’observation de ce délai suivent les règles habituelles des art. 142 ss CPC (Jeandin, CPC commenté, 2011, n. 7 ad art. 321 CPC et n. 6 ad art. 311 CPC). L’acte de recours doit ainsi être remis au plus tard le dernier jour du délai soit au tribunal soit à l'attention de ce dernier, à la poste suisse ou à une représentation diplomatique ou consulaire suisse (art. 143 al. 1 CPC).</w:t>
      </w:r>
    </w:p>
    <w:p>
      <w:r>
        <w:rPr>
          <w:b/>
        </w:rPr>
        <w:t>E. 1.2</w:t>
      </w:r>
    </w:p>
    <w:p>
      <w:r>
        <w:t>En l’espèce, le jugement entrepris a été notifié à la recourante, par l’intermédiaire de son conseil, le 21 juin 2018, comme en atteste la</w:t>
      </w:r>
    </w:p>
    <w:p>
      <w:r>
        <w:t>- 4 - feuille de suivi des envois postaux figurant au dossier. Le délai de recours a ainsi commencé à courir le 22 juin 2018 et est arrivé à échéance le lundi</w:t>
      </w:r>
    </w:p>
    <w:p>
      <w:r>
        <w:rPr>
          <w:b/>
        </w:rPr>
        <w:t>E. 2</w:t>
      </w:r>
    </w:p>
    <w:p>
      <w:r>
        <w:t>L'arrêt peut être rendu sans frais judiciaires (art. 11 TFJC [tarif des frais judiciaires en matière civile du 28 septembre 2010 ; RSV 270.11.5]). Il n’y a en outre pas lieu à l’allocation de dépens, l’intimé ne s’étant pas déterminé sur le recours. Par ces motifs, la Chambre des recours civile du Tribunal cantonal, en application de l'art. 322 al. 1 CPC, prononce : I. Le recours est irrecevable. II. L’arrêt, rendu sans frais, est exécutoire.</w:t>
      </w:r>
    </w:p>
    <w:p>
      <w:r>
        <w:t>- 5 - Le président : La greffière : Du L'arrêt qui précède, dont la rédaction a été approuvée à huis clos, est notifié à : - A.S.________, personnellement, - Me Q.________,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