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JD14.038852 vom 28. Mai 2015</w:t>
      </w:r>
    </w:p>
    <w:p>
      <w:r>
        <w:t>VD Tribunal cantonal, 2015-05-28, FR</w:t>
      </w:r>
    </w:p>
    <w:p>
      <w:r>
        <w:rPr>
          <w:b/>
        </w:rPr>
        <w:t xml:space="preserve">Quelle: </w:t>
      </w:r>
      <w:r>
        <w:t>https://mcp.opencaselaw.ch/entscheid/vd_gerichte_JD14.038852</w:t>
      </w:r>
    </w:p>
    <w:p>
      <w:r>
        <w:t>FR: VD_GERICHTE JD14.038852 du 28 mai 2015</w:t>
      </w:r>
    </w:p>
    <w:p>
      <w:r>
        <w:t>IT: VD_GERICHTE JD14.038852 del 28 maggio 2015</w:t>
      </w:r>
    </w:p>
    <w:p>
      <w:pPr>
        <w:pStyle w:val="Heading2"/>
      </w:pPr>
      <w:r>
        <w:t>Erwägungen</w:t>
      </w:r>
    </w:p>
    <w:p>
      <w:r>
        <w:rPr>
          <w:b/>
        </w:rPr>
        <w:t>E. 1</w:t>
      </w:r>
    </w:p>
    <w:p>
      <w:r>
        <w:t>Par jugement du 21 avril 2015, adressé pour notification aux parties le même jour, la Présidente du Tribunal civil d’arrondissement de Lausanne a prononcé le divorce des époux A.Q.________ et T.________ (I), ratifié pour valoir jugement les chiffres I, II, III, IV (nouveau) et V à IX de la convention signée les 12 et 16 septembre 2014, telle que modifiée en son chiffre IV le 12 décembre 2014 (II), attribué la bonification pour tâches éducatives à T.________ (III), ordonné à [...] de prélever sur la police de prévoyance liée n° [...] dont est titulaire A.Q.________ le montant de 4'566 fr. 85 et de transférer ce montant, dans un but de prévoyance professionnelle, sur le compte de prévoyance professionnelle de T.________, n° d’assurée [...] auprès de la [...] (IV), fixé l’indemnité de conseil d’office de T.________ (V), statué sur les frais (VI), et dit que la bénéficiaire de l’assistance judiciaire T.________ est, dans la mesure de l’art. 123 CPC, tenue au remboursement de l’indemnité de son conseil d’office et des frais judiciaires laissés à la charge de l’Etat (VII).</w:t>
      </w:r>
    </w:p>
    <w:p>
      <w:r>
        <w:rPr>
          <w:b/>
        </w:rPr>
        <w:t>E. 2</w:t>
      </w:r>
    </w:p>
    <w:p>
      <w:r>
        <w:t>Par courrier du 20 mai 2015, A.Q.________ a indiqué à la Présidente du Tribunal d’arrondissement qu’après avoir reçu le jugement de divorce, il s’apercevait qu’il se trouvait, en ce qui concerne les revenus tirés de son activité indépendante en 2014, bien loin des revenus réalisés en 2012 et 2013, déterminants pour les contributions arrêtées pour l’entretien des enfants. Il a dès lors requis « une adaptation du jugement concernant la pension ».</w:t>
      </w:r>
    </w:p>
    <w:p>
      <w:r>
        <w:rPr>
          <w:b/>
        </w:rPr>
        <w:t>E. 3</w:t>
      </w:r>
    </w:p>
    <w:p>
      <w:r>
        <w:t>Le 22 mai 2015, le Tribunal civil d’arrondissement de Lausanne a transmis ce courrier à la Cour d’appel civile du Tribunal cantonal comme objet de sa compétence. Dès lors qu’A.Q.________ agit dans le délai d’appel de trente jours contre le jugement de divorce (art. 289 et 311 CPC [Code de procédure civile du 19 décembre 2008 ; RS 272]), il y a lieu de considérer qu’il s’agit d‘un appel et non pas d’une demande de modification de jugement de divorce.</w:t>
      </w:r>
    </w:p>
    <w:p>
      <w:r>
        <w:t>- 3 - A teneur de l’art. 311 al. 1 CPC, l’appel doit être introduit par un acte écrit et motivé. L’appelant a ainsi le fardeau d’expliquer les motifs pour lesquels la décision attaquée doit être annulée et modifiée, par référence à l'un et/ou l'autre des motifs prévus à l'art. 310 CPC (TF 4A_659/2011 du 7 décembre 2011, in SJ 2012 I 231 c. 3 ; Jeandin, CPC commenté, Bâle 2011, n. 3 ad art. 311 CPC). Il ne peut se contenter de renvoyer aux écritures précédentes ou aux moyens soulevés en première instance ; il doit expliquer en quoi son argumentation peut influer sur la solution retenue par les premiers juges (TF 4A_659/2011 du 7 décembre 2011 c. 3 et 4, in RSPC 2012 p. 128 = SJ 2012 I 231 ; TF 5A_438/2012 du 27 août 2012 c. 2.2, in RSPC 2013 p. 29 ; TF 4A_474/2013 du 10 mars 2014 c. 3.1). La motivation doit être suffisamment explicite pour que l’instance d’appel puisse la comprendre aisément, ce qui suppose une désignation précise des passages de la décision que le recourant attaque et des pièces au dossier sur lesquelles repose sa critique (ATF 138 III 374 c. 4.3.1 ; TF 5A_396/2013 du 26 février 2014 c. 5.3.1). Il ne saurait être remédié à un défaut de motivation de l'appel par la fixation d'un délai à forme de l'art. 132 al. 1 CPC (ATF 137 III 617 c. 4 et 5, JT 2014 II 187) ou de l’art 56 CPC (TF 5A_855/2012 du 13 février 2013 c. 5, RSPC 2013 p. 257), un tel vice n'étant pas d'ordre purement formel et affectant l'appel de façon irréparable. En outre, même lorsque la maxime d’office est applicable, l’acte d’appel doit contenir des conclusions chiffrées s’agissant de conclusions pécuniaires (ici en contributions d’entretien pour les enfants), sous peine d’irrecevabilité. Les conclusions doivent être suffisamment précises pour qu’en cas d’admission de l’appel, elles puissent être reprises telles quelles dans le dispositif (ATF 137 III 617 c. 4.3. et 6.1, JT 2014 II 187 ; TF 4D_8/2013 du 15 février 2013 c. 4.2 ; TF 4A_383/2013 du 2 décembre 2013 c. 3.2.1, RSPC 2014 p. 221).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 6.2, JT 2014 II 187; TF 5A_855/2012 du 13 février 2013 c. 3.3.2 ; TF 5A_713/2012 du 15</w:t>
      </w:r>
    </w:p>
    <w:p>
      <w:r>
        <w:t>- 4 - février 2013 c. 4.1 ; TF 5A_621/2012 du 20 mars 2013, liquidation du régime matrimonial ; TF 4A_383/2013 du 2 décembre 2013 c. 3.2.1, RSPC 2014 p. 221). En l’espèce, l’appelant n’expose pas en quoi le jugement serait contraire au droit, se bornant à demander une adaptation des contributions dues pour l’entretien de ses enfants sur le vu du chiffre d’affaires réalisé en 2014, sans toutefois étayer ses allégations. L’acte d’appel ne comporte en outre aucune conclusion chiffrée. Les exigences relatives à la motivation et aux conclusions, telles que résumées ci- dessus, ne sont donc pas satisfaites.</w:t>
      </w:r>
    </w:p>
    <w:p>
      <w:r>
        <w:rPr>
          <w:b/>
        </w:rPr>
        <w:t>E. 4</w:t>
      </w:r>
    </w:p>
    <w:p>
      <w:r>
        <w:t>En conclusion, l’appel doit être déclaré irrecevable selon le mode procédural de l’art. 312 al. 1 CPC et le jugement confirmé. Le présent arrêt peut être rendu sans frais judiciaires de deuxième instance (art. 11 TFJC [tarif du 28 septembre 2010 des frais judiciaires civils ;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