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JD12.020730 vom 20. September 2012</w:t>
      </w:r>
    </w:p>
    <w:p>
      <w:r>
        <w:t>VD Tribunal cantonal, 2012-09-20, FR</w:t>
      </w:r>
    </w:p>
    <w:p>
      <w:r>
        <w:rPr>
          <w:b/>
        </w:rPr>
        <w:t xml:space="preserve">Quelle: </w:t>
      </w:r>
      <w:r>
        <w:t>https://mcp.opencaselaw.ch/entscheid/vd_gerichte_JD12.020730</w:t>
      </w:r>
    </w:p>
    <w:p>
      <w:r>
        <w:t>FR: VD_GERICHTE JD12.020730 du 20 septembre 2012</w:t>
      </w:r>
    </w:p>
    <w:p>
      <w:r>
        <w:t>IT: VD_GERICHTE JD12.020730 del 20 settembre 2012</w:t>
      </w:r>
    </w:p>
    <w:p>
      <w:pPr>
        <w:pStyle w:val="Heading2"/>
      </w:pPr>
      <w:r>
        <w:t>Erwägungen</w:t>
      </w:r>
    </w:p>
    <w:p>
      <w:r>
        <w:rPr>
          <w:b/>
        </w:rPr>
        <w:t>E. 43</w:t>
      </w:r>
    </w:p>
    <w:p>
      <w:r>
        <w:t>c. 2 et les réf. citées). Des novas peuvent par ailleurs être en principe librement introduits dans les causes régies par la maxime inquisitoire, par exemple sur la situation des enfants mineurs en droit matrimonial (Jeandin, in CPC commenté, Bâle 2011, n. 5 ad art. 296 CPC et les réf. citées ; JT 2011 III 43). En l’espèce, le litige porte notamment sur le sort et l’entretien d’enfants mineurs, de sorte que les pièces produites en deuxième instance sont recevables ; elles ont ainsi été prises en compte dans la mesure de leur utilité pour l’examen de la cause. 3. a) Dans un premier moyen, l’appelante reproche au premier juge d’avoir confié la garde de l’enfant Z.________ à son père. Elle fait d’abord valoir que la garde ce cet enfant lui a été confiée dès la séparation et qu’il ne se justifie pas d’en modifier l’attribution alors que les deux parents ont des compétences égales ; à cet égard, elle précise que, si elle a déménagé dans un village situé à une dizaine de kilomètres de l’endroit où Z.________ a vécu jusque-là, cela ne causera aucune difficulté. Elle soutient ensuite que l’argument tiré de la scolarité de cet enfant est irrelevant, puisque celui-ci a été enclassé dès la rentrée scolaire d’août 2012 non pas à Orbe, mais à Baulmes, et que ce village se situe à mi- distance entre le domicile du père, à Montcherand, et celui de la mère, à Chamblon. L’appelante ajoute que les liens entre les enfants Y.________ et Z.________ ne sont pas aussi forts que retenus par la présidente et que ceux-ci se chamaillent en réalité beaucoup. L’appelante relève enfin que si la garde de Z.________ lui était confiée, [...] pourrait s’en occuper en cas de besoin ; par ailleurs, l’enfant bénéficierait de conditions idéales s’il était scolarisé à Chamblon. Au surplus, l’appelante fait valoir les liens</w:t>
      </w:r>
    </w:p>
    <w:p>
      <w:r>
        <w:t>- 18 - particuliers qui l’unissent à son fils Z.________ depuis l’accouchement et un grave incident opératoire survenu à cette occasion. b) En vertu de l'art. 176 al. 3 CC (Code civil suisse du 10 décembre 1907, RS 210) relatif à l'organisation de la vie séparée, applicable par le renvoi de l’art. 276 CPC,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 les principes posés par la jurisprudence et la doctrine en matière de divorce sont alors applicables par analogie (Bräm, in Zürcher Kommentar, 2e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La garde sera ainsi attribuée de préférence à l’époux qui consacrait le plus de son temps</w:t>
      </w:r>
    </w:p>
    <w:p>
      <w:r>
        <w:t>- 19 - à l’éducation et aux soins des enfants. Même si ce critère jouit d’un poids particulier lorsque les capacités d'éducation et de soin des parents sont similaires, le juge ne peut se contenter d'attribuer l'enfant au parent qui en a eu la garde pendant la procédure (ATF 117 II 353 c. 3 ; ATF 115 II 206 c. 4a ; ATF 115 II 317 c. 2 ; ATF 114 II 200 c. 5 ; ATF 112 II 381 c. 3 ; cf. aussi FamPra.ch 4/2008, n. 104, p. 98 ; TF 5A_181/2008 du 25 avril 2008 ; FamPra.ch 1/2006, n. 20, p. 193 ; TF 5C.238/2005 du 2 novembre 2005). Par ailleurs, la jurisprudence tend à écarter désormais toute préférence naturelle en faveur de la mère, même pour les enfants en bas âge (Leuba/Bastons Bulletti, in Commentaire romand, n. 9 ad art. 133 CC et les réf. citées) ou du moins à accorder à ce critère un caractère très relatif, le critère décisif étant celui de l'aptitude des parents concernés (Meier/Stettler, Droit de la filiation, 4e éd., Zurich 2009, n. 452, p. 287 ; Juge délégué CACI 5 avril 2011/27). c) En l’espèce, on peut donner acte à l’appelante qu’un lien fort l’unit à ses enfants, notamment à Z.________, et que son déménagement à Chamblon n’entraîne pas de difficultés pratiques majeures. On peut également lui donner acte que les conditions de vie à Chamblon seraient satisfaisantes pour cet enfant. Cela étant, les deux parents ont en l’occurrence des capacités éducatives équivalentes, ce qui ressort des divers témoignages et n’est d’ailleurs pas contesté par les parties. Dans ces circonstances, le critère de la disponibilité des parents apparaît déterminant. A cet égard, il ressort du dossier que la disponibilité du père est supérieure à celle de la mère. Le père, qui est enseignant, bénéficie en effet de souplesse dans l’aménagement de son temps de travail. Son horaire actuel lui permet ainsi de manger à midi avec ses enfants quatre jours sur cinq durant la semaine et d’être présent tous les jours en fin d’après-midi, alors que la mère, si elle est toujours disponible à midi, ne l’est généralement pas en fin d’après-midi ; de surcroît, le père est disponible pour ses enfants toutes les vacances scolaires, soit durant treize semaines par an.</w:t>
      </w:r>
    </w:p>
    <w:p>
      <w:r>
        <w:t>- 20 - S’il est vrai que le transfert du droit de garde d’un parent à l’autre peut causer certaines difficultés d’adaptation et créer une instabilité chez l’enfant, ce critère n’apparaît pas déterminant en l’espèce. En effet, l’appelante a déménagé cet été d’Orbe à Chamblon pour vivre avec son ami, ce qui entraînerait un changement de lieu de vie et d’école même si la garde de Z.________ lui restait acquise ; en vivant à Montcherand avec son père, Z.________ habitera dans l’ancien appartement familial et gardera le même environnement scolaire, même s’il devra changer d’établissement en passant de l’école enfantine à l’école primaire. Le fait que l’octroi de l’effet suspensif, usuel dans ce genre de circonstances, ait permis à l’enfant de suivre sa mère à Chamblon et de commencer l’école à Baulmes ne doit pas être pris en considération, faute de quoi l’octroi de l’effet suspensif à l’appel de B.B.________ aurait préjugé l’issue de la procédure. Au surplus, même si cet élément n’est pas décisif dès lors que la fratrie est de toute façon séparée, il apparaît opportun qu’Y.________ et Z.________ ne soient pas séparés. Malgré un écart d’âge relativement élevé, cet écart reste en effet plus faible que celui existant entre X.________ et Z.________ ; au surplus, Y.________ et Z.________ partagent certains centres d’intérêt et sont très liés, comme en attestent les déclarations d’Y.________ en première instance, qui a fait part de son souhait de ne pas être séparé de son jeune frère. Le fait qu’Y.________ et Z.________ se chamaillent occasionnellement n’est manifestement pas de nature à remettre en cause de tels liens. On relèvera enfin que les témoignages écrits versés au dossier doivent être écartés dans la mesure où ils ne sont pas corroborés par des pièces. Par ailleurs, le fait que le beau-père d’A.B.________ ait tendance à boire de l’alcool n’est pas relevant, dès lors qu’il n’est pas prévu que celui- ci garde l’enfant Z.________. Au vu de ce qui précède, c’est à juste titre que la garde de l’enfant Z.________ a été confiée à son père.</w:t>
      </w:r>
    </w:p>
    <w:p>
      <w:r>
        <w:t>- 21 - Mal fondé, le moyen de l’appelante doit être rejeté. L’appelante n’ayant pas pris de conclusions subsidiaires en matière de droit de visite pour le cas où la garde de l’enfant Z.________ serait attribuée à son père et celui-ci ne contestant pas le droit de visite accordé à la mère par le premier juge, le droit de visite prévu dans l’ordonnance de mesures provisionnelles sera maintenu. Celui-ci correspond en effet aux besoins de l’enfant et il n’y a dès lors aucun motif de le modifier d’office. 4. a) Dans un deuxième moyen, les parties contestent la contribution d’entretien mise à la charge d’A.B.________. Si elles ne contestent pas la méthode utilisée par la présidente, à savoir la méthode dite du minimum vital avec répartition de l’excédent, elles contestent certains des postes retenus dans le budget des parties. Leurs griefs étant nombreux, il conviendra de les examiner séparément. 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w:t>
      </w:r>
    </w:p>
    <w:p>
      <w:r>
        <w:t>- 22 - proportion équitable (Perrin, La méthode du minimum vital, in SJ 1993, p.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850 fr. pour un débiteur vivant en concubinage, à 400 fr. pour chaque enfant de moins de 10 ans et à 600 fr. pour chaque enfant de plus de 10 ans –, les frais de logement, les coûts de santé (avant tout les primes d’assurance-maladie obligatoire), les frais de déplacement et de repas hors du domicile, s’ils sont indispensables à l’exercice de la profession, ainsi que les dettes contractées d’entente pour l’entretien du ménage (Chaix, op. cit., n. 9 ad art. 176 CC et les réf. citées). c) aa) Les deux parties contestent d’abord le montant de 2'100 fr. retenu par la présidente au titre de frais de logement d’A.B.________. Celui-ci soutient que ses frais s’élèvent en réalité à 2'250 fr., tandis que B.B.________ estime que les frais retenus sont trop élevés. En l’espèce, les charges annuelles liées à la maison de Montcherand, telles qu’attestées par pièces et retenues par le premier juge, comprennent une prime d’assurance ECA de 543 fr. 95, une prime d’assurance [...] de 686 fr. 20, des frais d’eau, d’épuration et de déchets par 436 fr. 10, des frais d’adoucissement d’eau par 341 fr. 30, un impôt foncier de 386 fr. 40, des frais de ramonage par 108 fr. 80, des intérêts hypothécaires par 14'525 fr., un amortissement indirect de 5'718 fr., soit un montant total de 22'745 fr. 75, ce qui représente une charge mensuelle de 1'895 fr. ; à cela s’ajoutent des frais de chauffage estimés par la présidente à 200 francs. Contrairement à ce qu’affirme B.B.________, l’amortissement indirect de 5'718 fr. est obligatoire et doit ainsi être pris en compte. A.B.________ se limite quant à lui, pour l’essentiel, à se référer à son propre décompte, mais n’explique pas en quoi les chiffres retenus</w:t>
      </w:r>
    </w:p>
    <w:p>
      <w:r>
        <w:t>- 23 - seraient erronés, de sorte que ses griefs seront écartés. S’agissant des frais de chauffage, ceux-ci ont été retenus à hauteur de 200 fr. par mois, ce qui est suffisant s’agissant d’une construction récente et écologique ; on ne saurait dès lors y ajouter encore 54 fr. de bois. Les frais d’entretien allégués par A.B.________ ne sont par ailleurs pas établis. Les griefs des parties portant sur les frais de logement d’A.B.________ doivent ainsi être écartés. bb) Les parties contestent ensuite le montant de 1'200 fr. retenu par la présidente au titre de frais de logement de B.B.________. Celle-ci soutient que ce poste s’élève en réalité à 1'800 fr., tandis que son mari est d’avis que ce poste ne dépasse par 1'000 fr. par mois. S’agissant de ce poste, de nombreuses pièces ont été produites, notamment en deuxième instance. B.B.________ a d’abord produit un décompte fantaisiste, lequel prenait en compte les charges relatives à un autre immeuble. Elle a allégué ensuite un montant de 1'800 fr. sur la base d’un contrat de bail établi par son compagnon ; un tel montant ne saurait toutefois être retenu, dès lors que le bail de la locataire précédente, à savoir l’ex-amie du bailleur, était inférieur, ce qui laisse supposer que le montant de 1'800 fr. est fictif. D’ailleurs, le conseil de B.B.________ a plaidé que sa cliente n’arrivait pas à le payer. En définitive, le montant retenu par le premier juge, qui n’est pas contredit par les pièces produites, apparaît correct et sera ainsi maintenu. cc) Les parties contestent en outre divers postes retenus dans le budget des parties, à savoir la participation aux frais médicaux des parties qui s’élèverait à 150 fr. pour le mari et à 100 fr. pour l’épouse, ainsi que la non-prise en compte de la prime d’assurance-accidents des enfants, des frais du repas du vendredi midi de l’enfant Z.________ supportés par le père et des frais d’écolage de l’enfant X.________ supportés par la mère. Ces griefs sont fondés. Il ressort en effet des pièces produites que les parties s’acquittent de primes d’assurance-accidents pour leurs</w:t>
      </w:r>
    </w:p>
    <w:p>
      <w:r>
        <w:t>- 24 - enfants, lesquelles doivent être retenus à hauteur de 39 fr. dans le budget d’A.B.________ (primes pour les enfants Y.________ et Z.________) et de 7 fr. dans le budget de B.B.________ – la prime de l’enfant X.________ devant être payée par le parent gardien –, et que les frais médicaux s’élèvent à 150 fr. pour le mari et à 100 fr. pour son épouse. Par ailleurs, il est établi que le père devra supporter les frais du repas de midi de son fils Z.________ une fois par semaine, un montant de 20 fr. par mois pouvant être retenu à ce titre, et que la mère supporte des frais d’écolage pour sa fille de 50 fr. par mois. dd) L’appelant conteste enfin les montants retenus au titre de base mensuelle pour les enfants et au titre de supplément pour l’exercice du droit de visite. Il propose à ce sujet une méthode de calcul particulièrement compliquée tenant compte du large droit de visite de la mère. En réalité, les frais de base demeurent importants même avec un droit de visite élargi, de sorte qu’il ne se justifie pas de réduire les montants de base du minimum vital des enfants dans l’établissement de la situation financière des parties ; aussi, il y a lieu de retenir un montant de base de 1’000 fr. pour les enfants Y.________ et Z.________ (600 fr. + 400 fr.) dans le budget d’A.B.________ et de 600 fr. pour l’enfant X.________ dans le budget de B.B.________. En revanche, il pourra être tenu compte du droit de visite élargi en retenant un supplément pour l’exercice du droit de visite dans le budget du parent visiteur, comme exposé ci-après, et en répartissant par moitié le disponible des parties après couverture de leurs charges incompressibles (cf. infra c. 4c/ee). S’agissant des frais liés à l’exercice du droit de visite, ceux-ci sont en principe à la charge du parent visiteur si sa situation économique est meilleure ou égale à celle du parent gardien. Si sa situation est moins favorable, les frais d’exercice du droit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(cf. arrêt TF 5C.282/2002 du 27 mars 2003). Il est ainsi</w:t>
      </w:r>
    </w:p>
    <w:p>
      <w:r>
        <w:t>- 25 - admis que les frais liés à l’exercice du droit de visite puissent, à certaines conditions, être pris en compte dans le calcul du minimum vital du parent visiteur (FamPra 2006, p. 198 ; Vetterli, in FamKomm Scheidung, 2e éd., Berne 2010, n. 33 ad art. 176 CC). En l’espèce, il n’y a cependant pas lieu de compter un tel supplément parmi les charges d’A.B.________, dès lors que celui-ci est en froid avec sa fille que rien n’indique qu’il exerce effectivement son droit de visite. Un montant de 150 fr. peut en revanche être retenu à ce titre dans le budget de B.B.________, le montant de 450 fr. retenu par la présidente n’étant pas justifié, puisqu’il ne prend pas suffisamment en compte l’intérêt des enfants à la couverture de leur entretien. ee) Il découle de ce qui précède que les charges mensuelles d’A.B.________ comprennent ses frais de logement par 2'100 fr., sa prime d’assurance-maladie et celle de ses deux fils par 485 fr., une participation à ses frais médicaux par 150 fr., des frais de transport par 430 fr., des frais de repas par 200 fr., une charge fiscale de 838 fr., les primes d’assurance-accidents pour ses fils par 39 fr., les frais de repas du vendredi midi de l’enfant Z.________ par 20 fr., auxquelles s’ajoutent les montants de base du minimum vital de 1'200 fr. pour lui-même, de 600 fr. pour Y.________ et de 400 fr. pour Z.________, de sorte que ses charges s’élèvent au total à 6'462 francs. Compte tenu d’un revenu mensuel net de 8'212 fr., A.B.________ bénéficie ainsi d’un disponible mensuel de 1'750 francs. Les charges mensuelles de B.B.________ comprennent quant à elles des frais de logement par 1'200 fr., un supplément pour l’exercice du droit de visite de 150 fr., les primes d’assurance-maladie pour elle et sa fille par 407 fr., une participation à ses frais médicaux par 100 fr., des frais de transport par 144 fr., une charge fiscale de 500 fr., la prime d’assurance-accidents pour sa fille de 7 fr. ainsi que l’écolage de celle-ci par 50 fr., auxquelles s’ajoutent les montants de base du minimum vital de 850 fr. pour elle-même, dès lors qu’elle vit en concubinage, et de 600 fr. pour X.________, si bien que ses charges se montent au total à 4'008</w:t>
      </w:r>
    </w:p>
    <w:p>
      <w:r>
        <w:t>- 26 - francs. Réalisant un revenu mensuel net de 3'891 fr., B.B.________ subit un déficit mensuel de 117 francs. Compte tenu du fait que B.B.________ exerce un droit de visite élargi sur ses fils, il se justifie de répartir le solde restant après le comblement du déficit de l’épouse par moitié entre les époux. Aussi, la contribution théorique due par A.B.________ pour l’entretien de son épouse et de sa fille doit être fixée à 933 fr. 50 (117 fr. + [1'750 fr. ./. 117 fr.] / 2), montant que l’on arrondira en équité à 1'000 fr. par mois. A ce montant s’ajouteront l’allocation familiale perçue pour X.________ et le tiers de l’allocation pour famille nombreuse. Il en résulte que le moyen de l’appelant est bien fondé, tandis que celui de l’appelante est mal fondé. 5. En conclusion, l’appel d’A.B.________ doit être partiellement admis, l’appel de B.B.________ rejeté et l’ordonnance de mesures provisionnelles du 17 juillet 2012 réformée en ce sens qu’A.B.________ contribuera à l’entretien de son épouse et de sa fille X.________ par le versement d’une pension mensuelle de 1'000 fr. par mois dès le 1er août 2012, étant précisé que la mère est elle-même dispensée du versement d’une contribution pour l’entretien de ses fils Y.________ et Z.________ et que les allocations familiales reviendront à hauteur de 513 fr. à A.B.________ et pour le solde à B.B.________. Les frais judiciaires de l’appel de B.B.________, arrêtés à 1'163 fr. 80 – soit 600 fr. d’émolument (art. 65 al. 2 TFJC [Tarif des frais judiciaires civils du 28 septembre 2010, RSV 270.11.5] et 563 fr. 80 de frais d’audition de témoins (art. 2 al. 1 TFJC), ceux-ci ayant été entendus sur la question de la garde de l’enfant Z.________, objet de cet appel –, seront laissés à la charge de l’Etat, dès lors que l’appelante, qui succombe, plaide au bénéfice de l’assistance judiciaire (art. 106 al. 1 et 122 al. 1 let. b CPC).</w:t>
      </w:r>
    </w:p>
    <w:p>
      <w:r>
        <w:t>- 27 - Les frais judiciaires de l’appel d’A.B.________, arrêtés à 600 fr. (art. 65 al. 2 TFJC), doivent être mis à la charge de chacune des parties par moitié et seront dès lors mis à la charge de l’appelant par 300 fr. et laissés à la charge de l’Etat par 300 fr. (art. 106 al. 2 CPC) Vu l’issue du litige, B.B.________ versera à A.B.________ des dépens réduits de deuxième instance, arrêtés à 800 fr. (art. 7 TDC [Tarif des dépens en matière civile du 23 novembre 2010, RSV 270.11.6]). 6. Le conseil d’office de B.B.________ a déposé, le 10 septembre 2012, une liste des opérations, dont il ressort qu’il a consacré 25 heures à la procédure d’appel. Vu l’ampleur du litige et le travail accompli, il y a lieu de retenir 19 heures. Au tarif horaire de 180 fr. (art. 2 RAJ [Règlement sur l’assistance judiciaire en matière civile du 7 décembre 2010, RSV 211.02.3]), l’indemnité du conseil doit donc être fixée à 3'693 fr. 60, TVA comprise. Des débours peuvent en outre lui être alloués à hauteur de 67 fr. 50, TVA comprise. Aussi, l’indemnité d’office de Me Mary Monnin- Zwahlen doit être arrêtée à 3'761 fr. 10, TVA et débours compris. Dans la mesure de l’art. 123 CPC, la bénéficiaire de l’assistance judiciaire est tenue au remboursement des frais judiciaires et de l’indemnité à son conseil d’office mis à la charge de l’Etat.</w:t>
      </w:r>
    </w:p>
    <w:p>
      <w:r>
        <w:t>- 28 - Par ces motifs, le juge délégué de la Cour d’appel civile du Tribunal cantonal, statuant à huis clos, prononce : I. L’appel de B.B.________ est rejeté. II. L’appel d’A.B.________ est partiellement admis. III. L’ordonnance est réformée comme il suit au chiffre V de son dispositif : V. dit qu’A.B.________ contribuera à l’entretien de son épouse et de sa fille X.________ par le versement d’une pension mensuelle, payable d’avance le premier de chaque mois en mains de B.B.________, de 1'000 fr. (mille francs) dès le 1er août 2012, étant précisé que la mère est elle-même dispensée du versement d’une contribution pour l’entretien des enfants Y.________ et Z.________ et que les allocations familiales reviendront à hauteur de 513 fr. (cinq cent treize francs) à A.B.________ et pour le solde à B.B.________. L’ordonnance est confirmée pour le surplus. IV. Les frais judiciaires de l’appel de B.B.________, arrêtés à 1’163 fr. 80 (mille cent soixante-trois francs et huitante centimes), sont laissés à la charge de l’Etat. V. Les frais judiciaires de l’appel d’A.B.________, arrêtés à 600 fr. (six cents francs), sont mis à la charge d’A.B.________ par 300 fr. (trois cents francs) et laissés à la charge de l’Etat par 300 fr. (trois cents francs). VI. L’indemnité d’office de Me Mary Monnin-Zwahlen, conseil de B.B.________, est arrêtée à 3'761 fr. 10 (trois mille sept cent</w:t>
      </w:r>
    </w:p>
    <w:p>
      <w:r>
        <w:t>- 29 - soixante et un francs et dix centimes), TVA et débours compris. VII. B.B.________ est, dans la mesure de l’art. 123 CPC, tenue au remboursement des frais judiciaires et de l’indemnité de son conseil d’office mis à la charge de l’Etat. VIII. B.B.________ doit verser à A.B.________ la somme de 800 fr. (huit cents francs) à titre de dépens de deuxième instance. IX. L’arrêt motivé est exécutoire. Le juge délégué : Le greffier : Du 21 septembre 2012 Le dispositif de l'arrêt qui précède est communiqué par écrit aux intéressés. Le greffier : Du L'arrêt qui précède, dont la rédaction a été approuvée à huis clos, est notifié en expédition complète, par l'envoi de photocopies à : - Me Jérôme Bénédict (pour A.B.________) - Me Mary Monnin-Zwahlen (pour B.B.________) Le présent arrêt peut faire l'objet d'un recours en matière civile devant le Tribunal fédéral au sens des art. 72 ss LTF (loi du 17 juin 2005 sur le Tribunal fédéral – RS 173.110), cas échéant d'un recours</w:t>
      </w:r>
    </w:p>
    <w:p>
      <w:r>
        <w:t>- 30 -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