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JD11.044982 vom 21. Dezember 2012</w:t>
      </w:r>
    </w:p>
    <w:p>
      <w:r>
        <w:t>VD Tribunal cantonal, 2012-12-21, FR</w:t>
      </w:r>
    </w:p>
    <w:p>
      <w:r>
        <w:rPr>
          <w:b/>
        </w:rPr>
        <w:t xml:space="preserve">Quelle: </w:t>
      </w:r>
      <w:r>
        <w:t>https://mcp.opencaselaw.ch/entscheid/vd_gerichte_JD11.044982</w:t>
      </w:r>
    </w:p>
    <w:p>
      <w:r>
        <w:t>FR: VD_GERICHTE JD11.044982 du 21 décembre 2012</w:t>
      </w:r>
    </w:p>
    <w:p>
      <w:r>
        <w:t>IT: VD_GERICHTE JD11.044982 del 21 dicembre 2012</w:t>
      </w:r>
    </w:p>
    <w:p>
      <w:pPr>
        <w:pStyle w:val="Heading2"/>
      </w:pPr>
      <w:r>
        <w:t>Erwägungen</w:t>
      </w:r>
    </w:p>
    <w:p>
      <w:r>
        <w:rPr>
          <w:b/>
        </w:rPr>
        <w:t>E. 1</w:t>
      </w:r>
    </w:p>
    <w:p>
      <w:r>
        <w:t>La société L.________SA, active dans le domaine de la construction, a collaboré à plusieurs reprises avec l'entreprise individuelle J._________ dont les actifs et les passifs ont été repris par la société J.________SA, créée au mois de juillet 2011. Dans le cadre du chantier dit de la [...], à Crissier, J._________ a transmis en date du 18 mars 2010 à L.________SA une offre par télécopie dont la teneur était la suivante: “(…) Pour donner suite à votre aimable demande de prix, nous avons l’avantage de vous remettre ci-dessous nos meilleures conditions relatives à l’objet susmentionné, soit: Evacuation par 4 essieux: Terre à décharge y.c. finance4’079m3 Fr. 26.—/m3 Terre végétale 720m3 Fr. 5.—/m3 Merci de nous faxer le formulaire 71 "Attestation de la qualité des matériaux d'excavation" avant le début des travaux. Fourniture franco chantier par 4 essieux: Grave I 0/45 100m3 Fr. 48.50/m3 Tout-venant recyclé 0/80 732m3 Fr. 35. --/m3 TVA. 7,6% non comprise Conditions valables jusqu'au 31 décembre 2010 (…) ” Selon les données contenues dans ce document, le coût estimé était de 140'124 fr. ([26 X 4'079] + [720 x 5] + [100 x 48.5] + [732 x 35]). Le 16 juin 2010, L.________SA a retourné par télécopie ce document contresigné avec la mention "bon pour accord".</w:t>
      </w:r>
    </w:p>
    <w:p>
      <w:r>
        <w:t>- 4 - L'entreprise J._________ a adressé au total nonante-deux factures à L.________SA, entre les mois d’avril et d’octobre 2010, pour un montant de 625’188 fr. 05. Cinq factures concernaient le chantier de la [...] pour un montant de 283'938 francs. La société L.________SA n'a contesté aucune facture.</w:t>
      </w:r>
    </w:p>
    <w:p>
      <w:r>
        <w:rPr>
          <w:b/>
        </w:rPr>
        <w:t>E. 2</w:t>
      </w:r>
    </w:p>
    <w:p>
      <w:r>
        <w:t>Par décision du 11 novembre 2010, la faillite de la société L.________SA a été prononcée. Les sociétés P.________SA et E.________SA ont été admises dans l'état de collocation pour des créances de 36’555 fr. 65, respectivement 173’655 fr. 40, colloquées en troisième classe. La société J.________SA a produit une créance de 625'188 fr. 05 qui, nonobstant la contestation des administrateurs, a été admise par la masse en faillite dans sa totalité et colloquée en troisième classe. Le dividende probable des créances colloquées en première classe est de 24 %.</w:t>
      </w:r>
    </w:p>
    <w:p>
      <w:r>
        <w:rPr>
          <w:b/>
        </w:rPr>
        <w:t>E. 3</w:t>
      </w:r>
    </w:p>
    <w:p>
      <w:r>
        <w:t>Le recours est recevable pour violation du droit (art. 320 let. a CPC) et constatation manifestement inexacte des faits (art. 320 let. b CPC).</w:t>
      </w:r>
    </w:p>
    <w:p>
      <w:r>
        <w:t>- 7 - L'autorité de recours dispose d'un plein pouvoir d'examen s'agissant de la violation du droit (Spühler, in Basler Kommentar, Bâle 2010, n. 12 ad art. 319 CPC). Elle revoit librement les questions de droit soulevées par le recourant et peut substituer ses propres motifs à ceux de l'autorité précédente ou du recourant (Hohl, Procédure civile, tome II, 2 éd., Berne 2010, n. 2508, p. 452).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(Corboz et al.,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4</w:t>
      </w:r>
    </w:p>
    <w:p>
      <w:r>
        <w:t>Il convient d'abord d'examiner le recours de E.________SA et P.________SA dès lors qu'il pourrait avoir une incidence sur le recours de J.________SA qui ne porte que sur la répartition des dépens.</w:t>
      </w:r>
    </w:p>
    <w:p>
      <w:r>
        <w:rPr>
          <w:b/>
        </w:rPr>
        <w:t>E. 4.1</w:t>
      </w:r>
    </w:p>
    <w:p>
      <w:r>
        <w:t>a) Les recourantes E.________SA et P.________SA soutiennent que le jugement attaqué contiendrait des constatations arbitraires au sens de l’art. 320 CPC (cf. supra c. 3). Se référant à la page 9 du jugement, les recourantes relèvent premièrement que le premier juge aurait retenu à tort que la créance litigieuse n’aurait pas été contestée par les administrateurs de la société faillie.</w:t>
      </w:r>
    </w:p>
    <w:p>
      <w:r>
        <w:t>- 8 - Le jugement retient que la société J.________SA a produit une créance de 625’188 fr. 05 qui, bien que contestée par les administrateurs, a été admise par la masse dans sa totalité et colloquée en troisième classe (p. 4 du jugement contesté). Il ressort également du jugement que ni les factures adressées pour le chantier de la [...] pour plus de 283'000 fr. (p.8), ni les quatre-vingt-sept autres factures adressées à L.________SA pour d'autres chantiers (p. 9) n’ont jamais été contestées par cette dernière. Contrairement à ce que soutiennent les recourantes, ce n’est donc pas l'absence de contestation de la créance par les administrateurs de la société faillie que le premier juge a retenu en page 9 de son jugement, mais l'absence de contestation des factures elles-mêmes par la société avant sa faillite. Les nonante-deux factures adressées au total par l'entreprise J._________, devenue J.________SA, ont été produites au dossier sous pièce 103 et aucun élément du dossier n'indique qu'elles auraient été contestées. Il résulte d’ailleurs du témoignage d'[...], ancien directeur de L.________SA, que les factures ont été contrôlées et qu’il n’y a pas eu de prestation facturée et non exécutée. Les constatations du premier juge sur ce point sont donc fondées et n’ont rien d’arbitraire. b) Deuxièmement, les recourantes reprochent au premier juge d'avoir considéré que l'offre adressée par J.________SA en date du 18 mars 2010 était un "téléfax unilatéral" non signé alors qu'il ressort expressément de la pièce 101 produite par J.________SA que l'offre a été contresignée par L.________SA avec la mention "bon pour accord". Les pièces 3 et 101 portent sur le même document, à savoir la télécopie du 18 mars 2010, à la différence que la pièce 3 est la version initiale envoyée par l'entreprise J._________ et que la pièce 101 est ce même document envoyé en retour et signé par L.________SA avec la mention "bon pour accord". En réalité, le premier juge s’est fondé sur la pièce 3 produite en première instance par les recourantes à laquelle il se réfère d’ailleurs expressément, et qui ne comporte pas la mention invoquée par les recourantes, pour qualifier ce document de « téléfax unilatéral », ce qui est, à teneur de la pièce 3, exact (p.8 du jugement</w:t>
      </w:r>
    </w:p>
    <w:p>
      <w:r>
        <w:t>- 9 - contesté). De toute manière, la teneur de la pièce 3 ou de la pièce 101, qui comporte la mention invoquée, ne change rien à l’issue du litige (cf. infra c. 4.2). En définitive, il n’y a aucune constatation manifestement erronée au sens de l’art. 320 let. b CPC.</w:t>
      </w:r>
    </w:p>
    <w:p>
      <w:r>
        <w:rPr>
          <w:b/>
        </w:rPr>
        <w:t>E. 4.2</w:t>
      </w:r>
    </w:p>
    <w:p>
      <w:r>
        <w:t>a) Les recourantes font valoir ensuite que les contrats conclus entre J._________ et L.________SA, dont il n’est pas contesté qu’il s’agit de contrats d’entreprise, l’ont été à forfait au sens de l’art. 373 al. 1 CO (Code des obligations du 30 mars 1911, RS 220) et que, conformément à l’alinéa 2 de cette disposition, seules des circonstances non réalisées en l’espèce permettraient de modifier la rémunération de l’entrepreneur. En conséquence, la créance qui doit être colloquée s’élève à 140’124 fr., correspondant au montant de l'offre du 18 mars 2010, sous déduction d’un montant de 50’000 fr. versé dans le cadre d’une transaction. b) Aux termes de l’art. 373 CO, lorsque le prix a été fixé à forfait, l’entrepreneur est tenu d’exécuter l’ouvrage pour la somme fixée, et il ne peut réclamer aucune augmentation, même si l’ouvrage a exigé plus de travail ou de dépenses que ce qui avait été prévu (al. 1). Toutefois, si l’exécution de l’ouvrage est empêchée ou rendue difficile à l’excès par des circonstances extraordinaires, impossibles à prévoir, où exclues par les prévisions qu’ont admises les parties, le juge peut, en vertu de son pouvoir d’appréciation, accorder soit une augmentation du prix stipulé, soit la résiliation du contrat (al. 2). Le choix des parties au contrat de fixer un prix ferme (appelé forfaitaire par l’art. 373 CO; cf. Tercier/Favre/Carron, Les contrats spéciaux, 4e éd., Genève – Zurich – Bâle 2009, n. 4663, p. 701) comporte un risque considérable pour les deux parties (ibidem, n. 4669, p. 701), en particulier un élément spéculatif en ce sens que l’entrepreneur supporte en principe le risque d’un dépassement des coûts de l’ouvrage (ATF 58 Il 421, JT 1933 I 299). Le législateur a cependant prévu une exception à l’art. 373 al. 2 CO, qui découle des règles de la bonne foi et qui peut bénéficier</w:t>
      </w:r>
    </w:p>
    <w:p>
      <w:r>
        <w:t>- 10 - tant à l’entrepreneur qu’au maître de l’ouvrage (Chaix, Commentaire romand, Code des obligations I, 2e éd., Bâle 2012, nn. 1-4 ad art. 373 CO, p. 2288). c) En l’espèce, c’est en vain que les recourantes se prévalent, selon le contenu de l’offre du 18 mars 2010, de la tarification précise de toutes les prestations du contrat et dont la multiplication des montants permet d’aboutir à un prix de 140’124 francs. En effet, comme l'a à juste titre retenu le premier juge, la détermination du prix dépendait encore du volume de matériaux évacué selon ce que les professionnels de la branche appellent le "cube camion". Il s’est fondé à cet égard sur les dépositions concordantes des témoins entendus à ce sujet, qui compte tenu de leur fonction, représentent incontestablement la volonté commune des parties et permettent ainsi d’interpréter le contrat comme un contrat d’entreprise d’après la valeur du travail, selon l’art. 374 al. 1 CO. Rien dans le dossier ne montre que l'entreprise J._________, devenue la société J.________SA, entendait assumer le risque géologique et d’instabilité du terrain présenté sur le chantier de la [...] Ce moyen doit être également rejeté, d’autant que les recourantes se bornent à contester les facturations d’un seul chantier, sans avancer le moindre argument pour les quatre-vingt-sept autres factures en lien avec d'autres chantiers. 5.3 a) Les recourantes invoquent encore la violation de l’art. 365 al. 3 CO. Elles soutiennent que dès lors que les prestations de l’entrepreneur ont en définitive été facturées au double du tarif indiqué, il avait le devoir d’informer le maître de l’ouvrage du dépassement excessif du prix convenu. b) Selon l’art. 364 al. 1 CO, la responsabilité de l’entrepreneur est soumise, d’une manière générale, aux mêmes règles que celle du travailleur dans les rapports de travail. Son obligation générale de diligence et de fidélité est concrétisée par plusieurs dispositions; il doit notamment aviser le maître de toutes circonstances de nature à</w:t>
      </w:r>
    </w:p>
    <w:p>
      <w:r>
        <w:t>- 11 - compromettre l’exécution régulière ou ponctuelle de l’ouvrage (art. 365 al. 3 CO) et également l’aviser de l’inadéquation des instructions qu’il lui donne (art. 369 CO) (Chaix, op. cit., nn. 7-8 ad art. 364 CO, pp. 2206- 2207). Ce devoir d’avis n’a cependant de sens que si le maître ignore les faits qui en sont l’objet. Le maître ne pourra ainsi prétendre aux sanctions attachées à la violation de ce devoir d’avis, s’il connaissait ou devait connaître les faits visés (Tercier; Favre; Carron, op. cit., n. 4431, p. 668, et réf. citées). c) L’argumentation des recourantes repose sur une prémisse erronée, à savoir que le montant de 140’124 fr. représenterait le prix forfaitaire convenu. Comme on l’a vu, les parties étaient convenues d’une fixation du prix en fonction du volume de terre évacué en définitive et le maître de l’ouvrage n’ignorait rien de la variation éventuelle de ce paramètre en fonction de l’évolution du chantier. Au demeurant, la société L.________SA savait que le volume de terre à évacuer dépassait les prévisions dés lors qu'elle exécutait elle-même les travaux et qu'elle avait dû faire face à des glissements de terrain selon le témoin [...]. L’art. 365 al. 3 CO n’est donc d’aucun secours aux recourantes. 5.4. En dernier lieu, les recourantes invoquent une violation du fardeau de la preuve au sujet de la preuve de la créance de l’intimée. Comme on l’a vu, le premier juge s’est fondé sur la production de nonante-deux factures non contestées et sur les dépositions concordantes des témoins au sujet de la correcte exécution des contrats d’entreprise pour retenir le bien-fondé des prétentions de l’intimée envers la société faillie. On ne distingue en conséquence aucune violation de l’art.</w:t>
      </w:r>
    </w:p>
    <w:p>
      <w:r>
        <w:rPr>
          <w:b/>
        </w:rPr>
        <w:t>E. 8</w:t>
      </w:r>
    </w:p>
    <w:p>
      <w:r>
        <w:t>CC (Code civil suisse du 10 décembre 1907, RS 210). Le recours de E.________SA et P.________SA doit en définitive être rejeté.</w:t>
      </w:r>
    </w:p>
    <w:p>
      <w:r>
        <w:t>- 12 - 6. a) S'agissant du second recours, la recourante J.________SA soutient qu’elle a obtenu entièrement gain de cause en première instance et qu’elle a droit par conséquent à l’allocation de pleins dépens, conformément à l’art. 106 al. 1 CPC. b) Selon l'art. 106 CPC, les frais sont mis à la charge de la partie succombante (al. 1). Lorsqu'aucune des parties n'obtient entièrement gain de cause, les frais sont répartis proportionnellement (al. 2). c) En l'espèce, les dernières conclusions de la recourante avant jugement correspondent exactement à celles retenues en définitive par le premier juge au chiffre I du dispositif de la décision attaquée. Il résulte en effet du procès-verbal de l’audience du 3 juillet 2012 que la recourante a admis la déduction du montant de 50’000 fr., telle que retenue par le premier juge dans sa décision (jugement contesté p. 9). Dans ces circonstances, il y a lieu d'admettre que la recourante J.________SA a obtenu entièrement gain de cause. Elle a ainsi droit à l’allocation de pleins dépens, arrêtés à 2'000 fr. (art. 5 TDC [Tarif des dépens en matière civile du 23 novembre 2010; RSV 270.11.6]), ainsi qu'au remboursement des frais judiciaires de première instance, qui ont été arrêtés à 200 francs. Le recours doit dès lors être admis. 7. En définitive le recours de E.________SA et P.________SA est rejeté, le recours de J.________SA étant en revanche admis. En conséquence le chiffre IV du dispositif du jugement doit être modifié en ce sens que E.________SA et P.________SA sont tenues de verser solidairement à J.________SA un montant de 2'200 fr. comprenant les dépens et les frais judiciaires de première instance. Vu l'issue du litige, les frais judiciaires du recours de E.________SA et P.________SA, arrêtés à 400 fr. (2 x 200 fr.; art. 69 al. 1 TFJC</w:t>
      </w:r>
    </w:p>
    <w:p>
      <w:r>
        <w:t>- 13 - [Tarif des frais judiciaires civils du 28 septembre 2010; RSV 270.11.5]), ainsi que les frais du recours de J.________SA, arrêtés à 200 fr. (art. 69 al. 1 et 70 al. 3 TFJC), doivent être mis solidairement à la charge de E.________SA et P.________SA qui succombent, solidairement entre elles (art. 106 al. 1 CPC). J.________SA a également droit à l’allocation de dépens de deuxième instance, arrêtés à 800 fr. (art. 8 TDC), et comprenant la restitution de son avance de frais de recours par 200 fr. (art. 111 al. 2 CPC). Par ces motifs, la Chambre des recours civile du Tribunal cantonal, statuant à huis clos, prononce : I. Le recours E.________SA et P.________SA est rejeté. II. Le recours de J.________SA est admis. III. Le chiffre IV du dispositif du jugement est réformé en ce sens que les demanderesses E.________SA et P.________SA, solidairement entre elles, doivent verser à la défenderesse J.________SA la somme de 2'200 fr. (deux mille deux cents francs) à titre de dépens et de restitution de frais judiciaires. Le jugement est confirmé pour le surplus. IV. Les frais judiciaires de deuxième instance, arrêtés à 600 fr. (six cents francs), sont mis à la charge E.________SA et P.________SA, solidairement entre elles.</w:t>
      </w:r>
    </w:p>
    <w:p>
      <w:r>
        <w:t>- 14 - V. E.________SA et P.________SA, solidairement entre elles, doivent verser à J.________SA la somme de 800 fr. (huit cents francs) à titre de dépens et de restitution de frais judiciaires de deuxième instance. VI. L'arrêt motivé est exécutoire. Le président : Le greffier : Du 27 décembre 2012 Le dispositif de l'arrêt qui précède est communiqué par écrit aux intéressés. Le greffier : Du L'arrêt qui précède, dont la rédaction a été approuvée à huis clos, est notifié en expédition complète, par l'envoi de photocopies, à : - Me Nicolas Saviaux (pour J.________SA), - Me Pierre-Xavier Luciani (pour E.________SA et P.________SA) La Chambre des recours civile considère que la valeur litigieuse est inférieure à 30'000 francs.</w:t>
      </w:r>
    </w:p>
    <w:p>
      <w:r>
        <w:t>- 15 -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- 16 -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