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JD11.008801 vom 21. August 2011</w:t>
      </w:r>
    </w:p>
    <w:p>
      <w:r>
        <w:t>VD Tribunal cantonal, 2011-08-21, FR</w:t>
      </w:r>
    </w:p>
    <w:p>
      <w:r>
        <w:rPr>
          <w:b/>
        </w:rPr>
        <w:t xml:space="preserve">Quelle: </w:t>
      </w:r>
      <w:r>
        <w:t>https://mcp.opencaselaw.ch/entscheid/vd_gerichte_JD11.008801</w:t>
      </w:r>
    </w:p>
    <w:p>
      <w:r>
        <w:t>FR: VD_GERICHTE JD11.008801 du 21 août 2011</w:t>
      </w:r>
    </w:p>
    <w:p>
      <w:r>
        <w:t>IT: VD_GERICHTE JD11.008801 del 21 agosto 2011</w:t>
      </w:r>
    </w:p>
    <w:p>
      <w:pPr>
        <w:pStyle w:val="Heading2"/>
      </w:pPr>
      <w:r>
        <w:t>Erwägungen</w:t>
      </w:r>
    </w:p>
    <w:p>
      <w:r>
        <w:rPr>
          <w:b/>
        </w:rPr>
        <w:t>E. 43</w:t>
      </w:r>
    </w:p>
    <w:p>
      <w:r>
        <w:t>c. 2 et les références citées).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44).</w:t>
      </w:r>
    </w:p>
    <w:p>
      <w:r>
        <w:t>- 9 - bb) En l'espèce, la pièce no 34, à savoir le décompte de virement pour le mois de février 2011 établi le 8 février 2011 par l’Hospice général produit par l'appelant, figurait déjà au dossier de première instance. Pour le reste de ses réquisitions ou productions de preuves, l’appelant ne démontre pas que les conditions de l’art. 317 al. 1 CPC mentionnées plus haut seraient réunies pour administrer ces nouveaux moyens, ni que ceux-ci s’imposeraient dans le cadre de l’instruction d’office. Il n'invoque pas non plus une violation de la maxime inquisitoire illimitée par le premier juge. 3. L’appelant critique le montant de la contribution qu’il doit pour l’entretien de sa famille. a) Selon l’art. 176 al. 1 ch. 1 CC, applicable par renvoi de l’art. 137 al. 2 CC,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JT 1997 I 46 ; TF 5A_205/2010 du 12 juillet 2010 c. 4.2.3, publié in La pratique du droit de la famille [FamPra.ch] 2010, p. 894). C’est au créancier de la contribution d’entretien qu’il incombe de préciser les dépenses nécessaires à son train de vie et de les rendre vraisemblables (ATF 115 lI 424 c. 2, JT 1992 I 258 ; TF 5A_732/2007 du 4 avril 2008 c. 2.2). Le législateur n’a pas arrêté de mode de calcul pour fixer les contributions d’entretien. L’une des méthodes préconisées par la doctrine</w:t>
      </w:r>
    </w:p>
    <w:p>
      <w:r>
        <w:t>- 10 -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Selon la jurisprudence, dans le domaine du droit de la famille, le minimum vital du débiteur de l'entretien ne doit pas être entamé (ATF 135 III 66 ; ATF 133 III 57 c. 3 et les références, JT 2007 I 351). La jurisprudence a en outre précisé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5A_205/2010 du 12 juillet 2010 précité c. 4.2.3 ; TF 5A_710/2009 du 22 février 2010 c. 4.1 et les références citées). b) Une nouvelle décision en matière de mesures provisoires n’est possible que si, depuis l’entrée en force des mesures protectrices ou provisoires prononcées précédemment, les circonstances de fait ont changé d’une manière essentielle et durable, notamment en matière de revenus, ou si le juge a ignoré des éléments essentiels ou mal apprécié les circonstances (TF 5A_272/2009 du 16 septembre 2009 c. 2.1). Tel est le cas en l’occurrence, ce qui n’est d’ailleurs pas contesté par l’appelant. 4. L’appelant critique le montant de son salaire et celui de ses charges tels que retenus par le premier juge.</w:t>
      </w:r>
    </w:p>
    <w:p>
      <w:r>
        <w:t>- 11 - a) Il soutient tout d’abord que son salaire mensuel net s’élève à 5'952 fr. 90. Ce grief doit être rejeté. En effet, il résulte des fiches de salaire produites par l’intéressé (cf. pièces nos 5 à 16 du bordereau du 4 mars 2011) que ce dernier a bel et bien réalisé un revenu mensuel net de 6'121 fr. 60 pour l’année 2010, part au treizième salaire incluse. b) L’appelant estime en outre que l’intérêt hypothécaire dû pour l’appartement dont il est propriétaire à Genève doit être intégré dans ses charges mensuelles. Il explique avoir dû augmenter son endettement pour accomplir sa nouvelle formation de pilote, entretenir les siens, effectuer des travaux de rénovation et se défendre dans le cadre d’une procédure l’opposant à sa sœur. Pour les postes entrant dans le minimum vital élargi, il n’est pas exclu de prendre en considération des dettes contractées d’entente entre les époux, pendant la vie commune, pour des besoins communs (FamPra.ch 2005, p. 178). Le premier juge a considéré que les charges hypothécaires (amortissement et intérêts) n’avaient pas à être pris en compte puisqu’elles n’étaient pas directement liées à l’acquisition ou à l’entretien du bien immobilier (cf. ordonnance, p. 6). Cette appréciation ne prête pas le flanc à la critique. En effet, au regard de la pièce n° 29, l’appelant a conclu un nouvel emprunt hypothécaire en date du 14 avril 2010. Il ne s’agit manifestement pas d’une dette contractée d’entente entre les époux pendant la vie commune et pour les besoins communs, dès lors que les parties avaient déjà été autorisées à vivre séparées par jugement du 2 avril 2009. Par ailleurs, cet emprunt ne correspond pas à un besoin fondamental de la famille, de sorte qu’il est tout à fait subsidiaire à l’obligation d’entretien. En effet, lors de l’audience du 5 mai 2011, l’appelant a déclaré qu’il avait contracté un prêt hypothécaire de 296'000 fr. garanti par l’appartement [...] reçu en donation de sa mère et qu’il</w:t>
      </w:r>
    </w:p>
    <w:p>
      <w:r>
        <w:t>- 12 - avait utilisé ce montant notamment pour voyager, payer ses charges courantes et refaire sa vie. c) L’appelant soutient par ailleurs que ses frais de transport s’élèvent à 350 fr. par mois. Seuls doivent être pris en compte les frais de véhicule dont l’usage est indispensable, parce qu’il n’y a pas de transports publics aux heures de travail considérées, au lieu du domicile, ou parce que l’état de santé ou la charge des enfants à transporter empêchent d’emprunter ceux-ci (TF 5P.238/2005 du 28 novembre 2005 c. 4.2). En l’espèce, l’appelant est domicilié à Gland et travaille en qualité de concierge d’immeubles [...], quartier relié à Genève par les Transports publics genevois. Il ne démontre d’aucune façon que ses horaires ne lui permettraient pas d’effectuer les trajets en transports publics. Dans ces conditions, c’est à juste titre que le premier juge a arrêté les frais de transport de l’appelant à 200 fr. par mois. d) L’appelant reproche au président du tribunal d’arrondissement d’avoir exclu de son minimum vital le montant de 150 fr. usuellement retenu pour l’exercice du droit de visite sur son fils. Selon la jurisprudence, le juge a un large pouvoir d’appréciation s’agissant du coût lié à l’exercice des relations personnelles (SJ 2000 II 214). Le premier juge n’a en l’occurrence retenu aucun montant pour l’exercice des relations personnelles. Cette appréciation peut être suivie. En effet, d’une part, chacun des époux a la garde de l’un des enfants encore mineurs du couple et, d’autre part, une somme de 600 fr. a été prise en compte dans les charges de chaque partie comme minimum vital de l’enfant dont la garde lui avait été confiée.</w:t>
      </w:r>
    </w:p>
    <w:p>
      <w:r>
        <w:t>- 13 - 5. L’appelant critique le montant des revenus et celui des charges de l’intimée retenus par le premier juge. a) Il soutient tout d’abord que la somme de 300 fr. comptabilisée à titre de frais de transport de l’intimée et de l’un de ses enfants ne se justifie pas, pas plus que le montant de 2'511 fr. pour le loyer de l’appartement de 7,5 pièces qu’elle occupe toujours. Il relève enfin qu’elle bénéfice de subsides pour ses primes d’assurance-maladie. aa) Si les frais de transport n’ont certes pas été justifiés par l’intimée, il n’en demeure pas moins que cette dernière est à la recherche d’un emploi et que D.N.________, né en 1996, doit nécessairement se déplacer pour se rendre à l’école ou entreprendre sa formation. Dans ces circonstances, le montant de 300 fr., soit 150 fr. par personne, pris en compte par le premier juge pour les frais de transport de la mère et de l’enfant dont celle-ci a la garde ne prête pas le flanc à la critique. bb) L’intimée vit dans un appartement de 7 pièces, dont le loyer mensuel s’élève à 2'511 francs. Elle partage ce logement avec à tout le moins deux de ses enfants, son fils aîné lui versant un montant de 600 fr. par mois. Elle perçoit également la somme mensuelle de 250 fr. pour la location d’une chambre à des étudiants, de sorte que son loyer s’élève en définitive à 1'661 fr., ce qui n’est pas excessif pour un logement dans le canton de Genève. cc) Le premier juge a retenu les montants de 560 fr. 15 pour la prime d’assurance-maladie de l’intimée, de 109 fr. 55 pour celle de l’enfant dont elle a la garde et de 115 fr. pour celle de C.N.________ dont la garde a été attribuée à l'appelant. A la lecture du décompte de l’Hospice général du 8 février 2011, l’intimée bénéficie toutefois de subsides pour le paiement de ces assurances. Or, les éventuelles subventions doivent être déduites des cotisations d’assurance-maladie (cf. Collaud, Le minimum vital élargi du droit de la famille, in Revue Fribourgeoise de Jurisprudence [RFJ] 2005, pp. 313 ss, spéc. p. 318).</w:t>
      </w:r>
    </w:p>
    <w:p>
      <w:r>
        <w:t>- 14 - Si l’intimée perçoit des subsides pour le paiement des primes d’assurance-maladie, cela ne change pas le résultat auquel a abouti le premier juge, puisque celui-ci a également tenu compte d’un montant pour les frais d’assurance-maladie de l’enfant dont l’appelant a la garde, alors que celui-là bénéficie également d’une subvention. Pour le reste, il résulte du document précité que l’intimée doit payer 414 fr. 40 pour sa prime d’assurance-maladie, ce qui constitue une différence peu importante par rapport au montant de 560 fr. 15 retenu par le premier juge. Ceci ne justifie pas une modification des pensions fixées par le président du tribunal d’arrondissement, étant encore rappelé que les aides sociales doivent au demeurant être subsidiaires par rapport aux prestations découlant du droit de la famille. b) L’appelant conteste le montant des revenus réalisés par l’intimée. Il estime que cette dernière a menti sur la quotité de ceux-ci et sur la réalité de sa situation professionnelle. Le premier juge a retenu que l’intimée est à la recherche d’un emploi, qu’elle n’a pas d’activité professionnelle lucrative et que son revenu se compose d’un montant de 600 fr. versé par son fils majeur qui loge chez elle, de la somme de 250 fr. par mois pour la location d’une chambre et de 445 fr. 35 reçus de l’Hospice général. Cette appréciation n’est pas critiquable. En effet, on ne saurait douter de la précarité de la situation financière de l’intimée, celle-ci bénéficiant de l’aide de l’Hospice général, qui vise précisément à soutenir les personnes qui ne sont pas en mesure de subvenir à leur entretien. L’appel est donc mal fondé sur ce point également. 6. L’appelant requiert l’annulation du chiffre III du dispositif de l’ordonnance entreprise, par lequel ordre est donné à K.________ de prélever mensuellement sur son salaire la somme de 4'200 fr. et de la verser sur le compte bancaire de l’intimée.</w:t>
      </w:r>
    </w:p>
    <w:p>
      <w:r>
        <w:t>- 15 - a) L’art. 311 al. 1 CPC précise que l’appel doit être écrit et motivé. L’appelant doit par conséquent expliquer les motifs pour lesquels le jugement attaqué doit être annulé et modifié (Jeandin, Code de procédure civile commenté, Bâle 2011, nn. 2-3 ad art. 311 CPC, p. 1251 ; Hohl, Procédure civile, t. II, 2ème éd., Berne 2010, nn. 2403 ss, p. 435 s. ; Reetz/Theiler, Kommentar zur Schweizerischen Zivilprozessordnung, Sutter-Somm/Hasenböhler/Leuenberger Hrsg, 2010, nn. 36 ss ad art. 311 CPC, p. 1921 s.). Aux termes de l'art. 291 CC, lorsque les père et mère négligent de prendre soin de l'enfant, le juge peut prescrire aux débiteurs de ce parent d'opérer tout ou partie de leurs paiements entre les mains du représentant légal de l'enfant. Les art. 132 et 177 CC contiennent une réglementation identique. Selon la doctrine, le juge « peut » ordonner un avis de durée illimitée ou limitée (Hausheer/Reusser/Geiser, Berner Kommentar, 1999, n. 9f ad art. 177 CC, p. 601 ; Sutter/Freiburghaus, Kommentar zum neuen Scheidungsrecht, Zurich 1999, n. 17 ad art. 132 CC, p. 366 ; Weber, Anweisung an die Schuldner, Sicherstellung der Unterhaltsforderung und Verfügungsbeschränkung, in Pratique Juridique Actuelle [PJA] 3/2002, pp. 235 ss, spéc. p. 240; Suhner, Anweisungen an die Schuldner, thèse St-Gall 1992, pp. 63 ss). b) En l’espèce, l’appelant se contente de requérir l’annulation de l’ordre donné à son employeur de prélever sur son salaire le montant des pensions pour le verser sur le compte de l’intimée. Or, il ne motive aucunement sa conclusion, contrairement aux exigences de l’art. 311 al. 1 CPC. En particulier, il ne conteste absolument pas qu’il ne verse plus de contribution d’entretien depuis le 1er janvier 2011 et n’affirme pas davantage qu’il serait prêt à s'acquitter spontanément des contributions qu’il doit aux siens. Insuffisamment motivé, son recours est irrecevable sur ce point.</w:t>
      </w:r>
    </w:p>
    <w:p>
      <w:r>
        <w:t>- 16 - 7. En conclusion, l’appel doit, en application de l’art. 312 al. 1 CPC, être rejeté dans la mesure de sa recevabilité et l’ordonnance confirmée. Vu l’issue de l’appel, les frais judiciaires de deuxième instance, arrêtés à 600 fr. (art. 65 al. 2 TFJC [tarif du 28 septembre 2010 des frais judiciaires civils, RSV 270.11.5]), sont mis à la charge de l’appelant (art. 106 al. 1 CPC). Il n’y a pas lieu d’allouer de dépens à l’intimée, qui n’a pas été invitée à déposer une réponse. Par ces motifs, le Juge délégué de la Cour d’appel civile du Tribunal cantonal, statuant à huis clos, en application de l'art. 312 al. 1 CPC, prononce : I. L'appel est rejeté dans la mesure où il est recevable. II. L'ordonnance est confirmée. III. Les frais judiciaires de deuxième instance, arrêtés à 600 fr. (six cents francs), sont mis à la charge de l'appelant A.N.________. IV. L'arrêt motivé est exécutoire. Le juge délégué : La greffière :</w:t>
      </w:r>
    </w:p>
    <w:p>
      <w:r>
        <w:t>- 17 - Du 23 août 2011 Le dispositif de l'arrêt qui précède est communiqué par écrit aux intéressés. La greffière : Du L'arrêt qui précède, dont la rédaction a été approuvée à huis clos, est notifié en expédition complète, par l'envoi de photocopies, à : - Me Nicolas Perret (pour A.N.________), - Me Patricia Michellod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