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JC18.048102 vom 2. Juli 2019</w:t>
      </w:r>
    </w:p>
    <w:p>
      <w:r>
        <w:t>VD Tribunal cantonal, 2019-07-02, FR</w:t>
      </w:r>
    </w:p>
    <w:p>
      <w:r>
        <w:rPr>
          <w:b/>
        </w:rPr>
        <w:t xml:space="preserve">Quelle: </w:t>
      </w:r>
      <w:r>
        <w:t>https://mcp.opencaselaw.ch/entscheid/vd_gerichte_JC18.048102</w:t>
      </w:r>
    </w:p>
    <w:p>
      <w:r>
        <w:t>FR: VD_GERICHTE JC18.048102 du 2 juillet 2019</w:t>
      </w:r>
    </w:p>
    <w:p>
      <w:r>
        <w:t>IT: VD_GERICHTE JC18.048102 del 2 luglio 2019</w:t>
      </w:r>
    </w:p>
    <w:p>
      <w:pPr>
        <w:pStyle w:val="Heading2"/>
      </w:pPr>
      <w:r>
        <w:t>Erwägungen</w:t>
      </w:r>
    </w:p>
    <w:p>
      <w:r>
        <w:rPr>
          <w:b/>
        </w:rPr>
        <w:t>E. 1</w:t>
      </w:r>
    </w:p>
    <w:p>
      <w:r>
        <w:t>a) La propriété par étages Q.________ a été constituée sur la parcelle n° 1.________ de la commune de [...]. b) B.________ est propriétaire de la parcelle n° 2.________ de ladite commune. c) Les parcelles précitées sont contiguës. La parcelle n° 1.________ est grevée d’une servitude de « plantations, clôtures » en faveur de la parcelle n° 2.________, consistant notamment en la plantation d’arbres « sur une longueur de quinze mètres le long de la limite Est du fonds servant calculée depuis l’angle Nord-Est au fonds servant », dont les frais sont à la charge du fonds dominant.</w:t>
      </w:r>
    </w:p>
    <w:p>
      <w:r>
        <w:t>- 3 -</w:t>
      </w:r>
    </w:p>
    <w:p>
      <w:r>
        <w:rPr>
          <w:b/>
        </w:rPr>
        <w:t>E. 1.1</w:t>
      </w:r>
    </w:p>
    <w:p>
      <w:r>
        <w:t>L’art. 110 CPC (Code de procédure civile du 19 décembre 2008 ; RS 272) ouvre la voie du recours séparé de l’art. 319 let. b ch. 1 CPC contre les décisions sur les frais, y compris ceux fixés par l’autorité de</w:t>
      </w:r>
    </w:p>
    <w:p>
      <w:r>
        <w:t>- 4 - conciliation (ATF 140 III 227 consid. 3.1 ; TF 4A_387/2013 du 17 février 2014 c. 3.2, non publié à l'ATF 140 III 70).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dès lors que le litige au fond n’est pas soumis à la procédure sommaire (art. 107 al. 1 ch. 4 et al. 2 CRF [Code rural et foncier du 7 décembre 1987 ; BLV 211.41] et 108 al. 1 CDPJ [Code de droit privé judiciaire vaudois du 12 janvier 2010 ; BLV 211.02]), le délai de recours est de 30 jours (art. 321 al. 1 et al. 2 a contrario CPC). Partant, déposé en temps utile par une partie qui a 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t>- 5 - 3.</w:t>
      </w:r>
    </w:p>
    <w:p>
      <w:r>
        <w:rPr>
          <w:b/>
        </w:rPr>
        <w:t>E. 2</w:t>
      </w:r>
    </w:p>
    <w:p>
      <w:r>
        <w:t>Le 2 novembre 2018, Q.________ a saisi la juge de paix d’une requête de conciliation dirigée contre B.________, tendant à ce qu’ordre soit donné à celui-ci « d’écimer la plantation le long de la limite Est du fonds servant, à hauteur de deux mètres » et « d’enlever, voire supprimer la plantation quant à la longueur pour tout ce qui dépasse quinze mètres », le cas échéant par la voie de l’exécution forcée. Invité à se déterminer sur cette requête, B.________ a notamment écrit à la juge de paix que « dans le but de trouver une solution amiable à ce litige et d’être en bons termes avec les voisins, [il était] disposé à effectuer un écimage de 2 mètres sur la longueur de la haie d’arbres. »</w:t>
      </w:r>
    </w:p>
    <w:p>
      <w:r>
        <w:rPr>
          <w:b/>
        </w:rPr>
        <w:t>E. 3</w:t>
      </w:r>
    </w:p>
    <w:p>
      <w:r>
        <w:t>Lors de l’audience de conciliation du 29 janvier 2019, les parties ont convenu de suspendre la procédure afin de permettre à B.________ de procéder à un élagage.</w:t>
      </w:r>
    </w:p>
    <w:p>
      <w:r>
        <w:rPr>
          <w:b/>
        </w:rPr>
        <w:t>E. 3.1</w:t>
      </w:r>
    </w:p>
    <w:p>
      <w:r>
        <w:t>Le recourant soutient qu’il n’aurait acquiescé à aucun fait ni à aucune demande de l’intimée et que cette dernière devrait être considérée comme la partie succombante puisqu’elle se serait désistée de son action.</w:t>
      </w:r>
    </w:p>
    <w:p>
      <w:r>
        <w:rPr>
          <w:b/>
        </w:rPr>
        <w:t>E. 3.2</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respectivement le défendeur en cas d'acquiescement. Selon l'art. 107 al. 1 let. e CPC, le tribunal peut s'écarter de cette règle et répartir les frais selon sa libre appréciation lorsque la procédure est devenue sans objet et que la loi n'en dispose pas autrement. L'art. 106 al. 1 3e phrase CPC implique la mise des frais à la charge du défendeur si celui-ci acquiesce aux conclusions de la demande, selon la forme écrite telle qu'exigée par l'art. 241 al. 1 CPC. Cette exigence de forme écrite exclut par exemple un acquiescement tacite, résultant d'une exécution spontanée des prétentions du demandeur (CREC</w:t>
      </w:r>
    </w:p>
    <w:p>
      <w:r>
        <w:rPr>
          <w:b/>
        </w:rPr>
        <w:t>E. 3.3</w:t>
      </w:r>
    </w:p>
    <w:p>
      <w:r>
        <w:t>En l'espèce, le recourant a élagué les plantations litigieuses, ce qui a rendu la cause sans objet. L’intéressé ayant accompli un acte matériel faisant droit aux conclusions de l’intimée, le premier juge n’a pas abusé de son pouvoir d’appréciation en mettant les frais à sa charge en application de l’art. 107 al. 1 let. e CPC, conformément aux principes rappelés ci-dessus.</w:t>
      </w:r>
    </w:p>
    <w:p>
      <w:r>
        <w:rPr>
          <w:b/>
        </w:rPr>
        <w:t>E. 4</w:t>
      </w:r>
    </w:p>
    <w:p>
      <w:r>
        <w:t>août 2015/278 ; CREC 13 mai 2013/148 ; CREC 7 février 2013/47 consid. 4b ; CREC 10 octobre 2012/353 consid. 3c ; Tappy, op. cit., nn. 22-24 ad art. 107 CPC).</w:t>
      </w:r>
    </w:p>
    <w:p>
      <w:r>
        <w:t>- 6 -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La répartition en équité au sens de l'art. 107 CPC relève du droit et peut être librement revue par les juridictions supérieures, notamment dans le cadre d'un recours selon les art. 319 ss CPC (Tappy, op. cit., nn. 5-6 ad art. 107 CPC). La Cour de céans a considéré que lorsqu'une cause était devenue sans objet parce que le défendeur avait accompli un acte matériel faisant droit aux prétentions du demandeur, le premier juge n'abusait pas de son pouvoir d'appréciation en mettant des dépens à la charge du défendeur (CREC 25 août 2017/325 ; CREC 13 mai 2013/148 ; CREC 10 novembre 2011/206).</w:t>
      </w:r>
    </w:p>
    <w:p>
      <w:r>
        <w:rPr>
          <w:b/>
        </w:rPr>
        <w:t>E. 4.1</w:t>
      </w:r>
    </w:p>
    <w:p>
      <w:r>
        <w:t>En définitive, le recours, manifestement infondé, doit être rejeté et la décision confirmée.</w:t>
      </w:r>
    </w:p>
    <w:p>
      <w:r>
        <w:rPr>
          <w:b/>
        </w:rPr>
        <w:t>E. 4.2</w:t>
      </w:r>
    </w:p>
    <w:p>
      <w:r>
        <w:t>Vu l’issue du recours, les frais judiciaires de deuxième instance, arrêtés à 100 fr. (art. 69 al. 1 TFJC [Tarif des frais judiciaires civils du 28 septembre 2010 ; BLV 270.11.5]), seront mis à la charge du recourant (art. 106 al. 1 CPC).</w:t>
      </w:r>
    </w:p>
    <w:p>
      <w:r>
        <w:t>- 7 - Il n’y a pas lieu à l’allocation de dépens de deuxième instance dès lors que l’intimée n’a pas été invitée à se déterminer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B.________. IV. L’arrêt est exécutoire. Le président : Le greffier : Du L'arrêt qui précède, dont la rédaction a été approuvée à huis clos, est notifié à : - B.________, - Mme Mimoza Derri (pour Q.________). La Chambre des recours civile considère que la valeur litigieuse est inférieure à 30'000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