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JC10.017432 vom 10. Juni 2011</w:t>
      </w:r>
    </w:p>
    <w:p>
      <w:r>
        <w:t>VD Tribunal cantonal, 2011-06-10, FR</w:t>
      </w:r>
    </w:p>
    <w:p>
      <w:r>
        <w:rPr>
          <w:b/>
        </w:rPr>
        <w:t xml:space="preserve">Quelle: </w:t>
      </w:r>
      <w:r>
        <w:t>https://mcp.opencaselaw.ch/entscheid/vd_gerichte_JC10.017432</w:t>
      </w:r>
    </w:p>
    <w:p>
      <w:r>
        <w:t>FR: VD_GERICHTE JC10.017432 du 10 juin 2011</w:t>
      </w:r>
    </w:p>
    <w:p>
      <w:r>
        <w:t>IT: VD_GERICHTE JC10.017432 del 10 giugno 2011</w:t>
      </w:r>
    </w:p>
    <w:p>
      <w:pPr>
        <w:pStyle w:val="Heading2"/>
      </w:pPr>
      <w:r>
        <w:t>Erwägungen</w:t>
      </w:r>
    </w:p>
    <w:p>
      <w:r>
        <w:rPr>
          <w:b/>
        </w:rPr>
        <w:t>E. 1</w:t>
      </w:r>
    </w:p>
    <w:p>
      <w:r>
        <w:t>L'appelant A.R.________, né le [...] 1964, et l'intimée B.R.________, née le [...] 1964, de nationalité suisse, se sont mariés le [...] 1993 devant l'officier d'état civil de Genève. De cette union sont nés deux enfants, [...], le [...] 1995 et [...], le [...] 1998. Parties vivent séparées depuis fin juin 2007. Le 28 mai 2009, lors d'une audience de mesures protectrices de l'union conjugale tenue sur requête de B.R.________, les parties ont conclu conjointement au divorce et ont requis la transformation de l'audience précitée en audience de mesures provisionnelles. Elles ont par ailleurs passé une convention ratifiée séance tenante pour valoir ordonnance de mesures provisionnelles. Dite convention prévoyait de confirmer le chiffre II de leur convention de mesures protectrices de l'union conjugale du 21 août 2008, en ce sens que la garde des enfants est attribuée à leur mère, le père jouissant d'un libre et large droit de visite, à exercer d'entente entre les parties, et, à défaut d'entente, un week-end sur deux et la moitié des vacances et jours fériés. La convention du 28 mai 2009 prévoyait en outre une contribution d'entretien mensuelle de 3'000 fr., éventuelles allocations familiales en sus, payable d'avance le premier de chaque mois par A.R.________ dès le 1er juin 2009 en mains de B.R.________.</w:t>
      </w:r>
    </w:p>
    <w:p>
      <w:r>
        <w:rPr>
          <w:b/>
        </w:rPr>
        <w:t>E. 2</w:t>
      </w:r>
    </w:p>
    <w:p>
      <w:r>
        <w:t>Selon les éléments du dossier, la situation matérielle des parties est la suivante : Ancien directeur de la société [...],A.R.________ a perçu une rémunération annuelle nette de l'ordre de 141'678 francs, allocations</w:t>
      </w:r>
    </w:p>
    <w:p>
      <w:r>
        <w:t>- 4 - familiales comprises. Frappé d'une incapacité de travail dès le 25 mars 2008, A.R.________ a déposé une demande AI le 21 janvier 2009. Le 5 octobre 2010, l'Office AI a établi un projet de décision, selon lequel il a octroyé à l'appelant une rente AI entière limitée dans le temps, à savoir du 1er juillet 2009 au 30 juin 2010. Durant cette période, A.R.________ a perçu des indemnités pour incapacité de travail de la part de l'assurance [...], fixée à 339 fr. 72 par jour, soit environ 10'000 fr. par mois. Le versement de cette indemnité journalière a pris fin le 24 mars 2010, soit après une période de 700 jours. Depuis, A.R.________ perçoit des indemnités de chômage mensuelles brutes de l'ordre de 2'200 francs, ainsi qu'une allocation mensuelle brute pour enfants de 405 fr. 55. A la suite d'un accident, l'appelant a par ailleurs été en incapacité de travail du 4 décembre 2010 au 31 mars 2011, date à laquelle une réévaluation de son cas était prévue. La déclaration d'impôts 2009 de l'appelant fait ressortir un revenu annuel net de 137'363 francs, soit 11'446 fr. 90 par mois. Selon la déclaration d'impôts 2010, A.R.________ a perçu un revenu annuel de 50'351 fr, soit 4'195 fr. 90 par mois. Les charges incompressibles de A.R.________ s'élèvent à 4'244 fr. 30. A la suite de la vente le 27 juin 2003 de 3'800 actions à la société [...],A.R.________ dispose par ailleurs d'une option lui permettant de vendre à tout moment à dite société, ou à un cessionnaire, le solde de sa participation dans [...] à un prix prédéfini dans le temps, par paliers, garanti jusqu'en 2018. A.R.________ percevra un montant de 2'700'000 fr. si l'option est exercée avant le 31 décembre 2014 et de 3'700'000 fr. si elle est exercée entre le 1er janvier 2015 et le 31 décembre 2018. Par ailleurs, l'appelant bénéficie d'un crédit auprès de la [...] lié et couvert par une garantie bancaire émise par [...] à concurrence des options. Selon l'extrait de la [...], l'appelant a une dette d'un montant de 1'489'039 fr. 30 au 30 septembre 2010. Le solde de son crédit en compte courant est donc de l'ordre de 1'211'000 fr. à ce jour (2'700'000 fr. – 1'489'000 fr.). Pour sa part, B.R.________ perçoit une rente AI mensuelle de 3'612 fr. et une rente LPP mensuelle de 1'724 fr. 10, soit au total 5'536 fr. 10 par mois. Ses charges incompressibles s'élèvent à 5'155 francs.</w:t>
      </w:r>
    </w:p>
    <w:p>
      <w:r>
        <w:t>- 5 -</w:t>
      </w:r>
    </w:p>
    <w:p>
      <w:r>
        <w:rPr>
          <w:b/>
        </w:rPr>
        <w:t>E. 3</w:t>
      </w:r>
    </w:p>
    <w:p>
      <w:r>
        <w:t>L’appelant allègue que les contributions telles qu’arrêtées dans l’ordonnance de mesures provisionnelles portent atteinte à son minimum vital. Il n’est en outre pas admissible, selon lui, qu’il soit tenu compte d’un revenu hypothétique du débirentier au stade des mesures provisionnelles déjà et estime avoir fait un effort suffisant dans ses recherches d'emploi. L’intimée expose que ni l’état de santé ni l’âge de A.R.________ ne font obstacle à l’exercice d’une activité lucrative. Sa capacité contributive est pleine et entière et il y a lieu de retenir un revenu hypothétique mensuel de 10'000 francs. Le principe et le montant de la contribution d'entretien due selon l'art. 176 al. 1 ch. 1 CC, applicable par analogie aux mesures provisoires (art. 137 al. 2 CC), se déterminent en fonction des facultés économiques et des besoins respectifs des époux (ATF 121 I 97 c. 3b; 118 II 376 c. 20b et les références citées). La situation d’un couple séparé, totalement désuni, doit s’apprécier en s’inspirant des principes régissant l’hypothèse d’un divorce (ATF 118 III 65 consid. 4a), en particulier l’art. 125 CC. Celui-ci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w:t>
      </w:r>
    </w:p>
    <w:p>
      <w:r>
        <w:t>- 9 -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 5A_409/2007 du 14 novembre 2007 et références citées).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Le versement régulier d'indemnités de chômage constitue un indice que le débirentier a entrepris tout ce qu'on pouvait raisonnablement attendre de lui pour retrouver un emploi; on ne peut alors lui imputer un revenu hypothétique supérieur (TF 5A_138/2010 du 8 juillet 2010, RMA 2010 p. 451). Enfin, s’agissant de la fortune du débirentier, la jurisprudence a admis qu’elle soit mise à contribution pour déterminer sa</w:t>
      </w:r>
    </w:p>
    <w:p>
      <w:r>
        <w:t>- 10 - capacité financière. Celui-ci peut devoir mettre à contribution non seulement les revenus, mais également la substance de son patrimoine pour garantir l’entretien nécessaire de sa famille (TF 5P_10/2002 c.3 b du 16 juillet 2002). En l’espèce, selon l’Office de l’assurance invalidité, l’appelant bénéficie d’une capacité de travail entière depuis le 25 mars 2010. Il a effectivement été en incapacité de travail du 4 décembre 2010 au 31 mars 2011 selon certificat médical du Dr [...] du 24 février 2011, chirurgien articulaire. L’appelant produit en appel des certificats médicaux attestant que son incapacité de travail serait encore d’actualité, ce qui n’a cependant pas été allégué en appel et qui est en contradiction avec les pièces concernant la perception des indemnités de chômage. Il n’en sera dès lors pas tenu compte. L’appelant reçoit des indemnités chômage mensuelles brutes de l’ordre de 2'200 francs. Il faut dès lors se demander si on peut lui imputer un revenu hypothétique déjà au stade des mesures provisionnelles. Il est exact que ses compétences professionnelles doivent lui permettre de réaliser un revenu de l’ordre de 10'000 francs. Mais rien n’indique que l’appelant fait actuellement preuve de mauvaise volonté depuis le 24 mars 2010 dans le cadre de ses recherches d’emploi. Bien au contraire, selon les pièces produites dans le cadre de la procédure d’appel, il est établi que l’appelant a entrepris de nombreuses recherches personnelles en vue de retrouver un emploi, si bien qu’on ne saurait lui imputer un revenu hypothétique au stade des mesures provisionnelles. Cependant, l’appelant dispose de participations dans la société [...] sous forme d’actions. Il a signé un contrat avec la société [...] lui permettant de vendre à tout moment ces participations. Si l’option est réalisée avant le 31 décembre 2014, le bénéfice tiré de cette opération sera de 2'700'000 fr., alors que si elle est réalisée postérieurement, il sera de 3'700'000 francs. Dans ces circonstances, on ne saurait reprocher à l’appelant de ne pas exercer l’option dans l’immédiat. On peut d’ailleurs souligner que l’intimée a demandé que tout soit entrepris pour que</w:t>
      </w:r>
    </w:p>
    <w:p>
      <w:r>
        <w:t>- 11 - l’option ne soit pas exercée avant le 1er janvier 2015, de telle sorte à préserver ses droits dans le cadre de la liquidation du régime matrimonial (procédé écrit du 1er octobre 2010, allégués 57 et 58). L’appelant bénéficie en outre d’un crédit en compte courant auprès de la [...] (anciennement [...]), lié et couvert par une garantie bancaire émise par [...] à concurrence du montant des options, soit 2'700'000 fr. actuellement et jusqu’à 3'700'000 fr. si les participations ne sont pas vendues au 1er janvier 2015. La dette contractée auprès de l’établissement [...] s’élève à 1'489'039 fr. au 30 septembre 2010. On doit dès lors admettre que l’appelant, bien qu’il ne déploie pas actuellement sa pleine capacité de gain, bénéficie de moyens suffisants pour faire face à cette situation provisoire et assumer les charges liées à l’entretien de sa famille jusqu’à ce qu’il ait retrouvé un emploi, sans que cela ne porte atteinte à son minimum vital. En conséquence, la convention du 28 mai 2009 prévoyant une contribution d’entretien mensuelle de 3'000 fr. parait encore en adéquation avec la situation financière des parties actuellement et il convient de confirmer l'ordonnance entreprise sur ce point.</w:t>
      </w:r>
    </w:p>
    <w:p>
      <w:r>
        <w:rPr>
          <w:b/>
        </w:rPr>
        <w:t>E. 4</w:t>
      </w:r>
    </w:p>
    <w:p>
      <w:r>
        <w:t>L’appelant estime que le paiement des frais d’écolage en sus de la contribution d’entretien porte atteinte à son minimum vital. Il allègue que les frais d’écolage s’élèvent à 37'154 fr. par année. Selon l’intimée, il n’est pas exact de dire que les frais d’écolage sont supportés uniquement par A.R.________, puisqu’ils doivent être acquittés au moyen d’un compte courant qui fait partie des masses à partager dans le cadre de la liquidation du régime matrimonial. En application des art. 204 et 205 CC, l’état des acquêts est arrêté au jour de la dissolution du régime, soit en l’espèce le 28 mai 2009, date de l’audience de mesures protectrices de l'union conjugale à laquelle les parties ont conclu conjointement au divorce. A compter de cette date,</w:t>
      </w:r>
    </w:p>
    <w:p>
      <w:r>
        <w:t>- 12 - le volume de la masse ne peut être affecté par des aliénations postérieures à celle-ci ; il est susceptible de subir des modifications par rapport à la valeur des biens (art. 214 CC) mais non dans la composition du patrimoine dont il est constitué (Stettler/Waelti, Le régime matrimonial, 2ème éd. 1992, no 362 p. 197). Le principe du caractère intangible de la masse des acquêts entre le moment de la dissolution du régime et celui de la liquidation souffre néanmoins quelques exceptions. Ainsi, les dettes postérieures à la dissolution seront néanmoins prises en compte à la liquidation dans la mesure où elles sont contractées avec le consentement du conjoint ou l’autorisation du juge, pour assurer l’entretien personnel ou celui de la famille (Stettler/Waelti, op. cit., no 366 p. 198). Dans le cas d'espèce, les deux parties ont souhaité que leurs enfants poursuivent leur scolarité à l'école [...]. Ainsi, au moment de la liquidation du régime matrimonial, il devra être tenu compte, pour déterminer les acquêts de l'appelant, des frais d'écolage dont il s'est acquitté postérieurement à la dissolution du régime matrimonial et au moyen d'un compte dont il est le seul titulaire. Il est ainsi exact que ces frais ne seront finalement pas supportés uniquement par l'appelant. Au demeurant, si l’on se réfère à l’argumentation développée ci-dessus, l’appelant est en mesure de s’acquitter de ces montants supplémentaires. Il s’agit d’ailleurs de frais d’écolage pour l’année 2010-2011, actuellement échus. Il appartiendra aux parties d’examiner si la fréquentation de l’école [...] est encore envisageable à l’avenir, compte tenu des revenus réalisés actuellement par l’appelant. L'ordonnance peut dès lors être confirmée également sur ce point.</w:t>
      </w:r>
    </w:p>
    <w:p>
      <w:r>
        <w:rPr>
          <w:b/>
        </w:rPr>
        <w:t>E. 5</w:t>
      </w:r>
    </w:p>
    <w:p>
      <w:r>
        <w:t>Vu l'issue de l'appel, les frais judiciaires de deuxième instance, arrêtés à 600 fr. (art. 65 al. 1 TFJC [tarif des frais judiciaires civils du 28 septembre 2010; RSV 270.11.5]), sont mis à la charge de l'appelant (art. 106 al. 1er CPC).</w:t>
      </w:r>
    </w:p>
    <w:p>
      <w:r>
        <w:t>- 13 - L'appelant ayant succombé, des dépens, à hauteur de 1'500 fr., sont alloués à l’intimée qui s’est déterminée par l’intermédiaire de son conseil (art. 95 al. 3 let d CPC, art. 37 CDPJ [Code de droit privé judiciaire vaudois du 12 janvier 2010; RSV 211.02]).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L'appelant A.R.________ doit verser à l'intimée B.R.________ la somme de 1'500 fr. (mille cinq cents francs) à titre de dépens de deuxième instance. V. L'arrêt motivé est exécutoire. Le juge délégué : Le greffier :</w:t>
      </w:r>
    </w:p>
    <w:p>
      <w:r>
        <w:t>- 14 - Du 14 juin 2011 Le dispositif de l'arrêt qui précède est communiqué par écrit aux intéressés. Le greffier : Du L'arrêt qui précède, dont la rédaction a été approuvée à huis clos, est notifié en expédition complète, par l'envoi de photocopies à : - Me Bertrand Pariat (pour B.R.________), - Me Henri Baudraz (pour A.R.________).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