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JA10.017452 vom 10. Februar 2012</w:t>
      </w:r>
    </w:p>
    <w:p>
      <w:r>
        <w:t>VD Tribunal cantonal, 2012-02-10, FR</w:t>
      </w:r>
    </w:p>
    <w:p>
      <w:r>
        <w:rPr>
          <w:b/>
        </w:rPr>
        <w:t xml:space="preserve">Quelle: </w:t>
      </w:r>
      <w:r>
        <w:t>https://mcp.opencaselaw.ch/entscheid/vd_gerichte_JA10.017452</w:t>
      </w:r>
    </w:p>
    <w:p>
      <w:r>
        <w:t>FR: VD_GERICHTE JA10.017452 du 10 février 2012</w:t>
      </w:r>
    </w:p>
    <w:p>
      <w:r>
        <w:t>IT: VD_GERICHTE JA10.017452 del 10 febbraio 2012</w:t>
      </w:r>
    </w:p>
    <w:p>
      <w:pPr>
        <w:pStyle w:val="Heading2"/>
      </w:pPr>
      <w:r>
        <w:t>Erwägungen</w:t>
      </w:r>
    </w:p>
    <w:p>
      <w:r>
        <w:rPr>
          <w:b/>
        </w:rPr>
        <w:t>E. 4</w:t>
      </w:r>
    </w:p>
    <w:p>
      <w:r>
        <w:t>Dans la détermination de son minimum vital, l'appelant conteste le montant de base pris en compte (demi-base mensuelle pour un couple marié) du fait qu'il vit en concubinage avec [...]. Il soutient que le premier juge ne pouvait pas prendre en compte cette demi-base, dès lors que sa compagne ne bénéficie d'aucune rentrée financière et qu'elle n'est pas à même de participer aux frais du ménage. Pour déterminer la capacitive effective du débirentier, il faut partir de l'entretien de base selon le droit des poursuites. Que le débiteur soit marié, qu'il vive en partenariat enregistré ou en couple avec des enfants mineurs, il faut prendre en considération, dans chacun de ces trois cas, la moitié de l'entretien de base, sous peine de privilégier le (nouveau) conjoint, le partenaire enregistré ou le concubin du débirentier au détriment des enfants de celui-ci (ATF 137 III 59 c. 4.2.2). Le fait que le partenaire participe réellement ou non aux frais du ménage est à cet égard irrelevant. Le moyen du recourant, qui se fonde sur un tel argument, est ainsi dénué de toute pertinence et doit être rejeté.</w:t>
      </w:r>
    </w:p>
    <w:p>
      <w:r>
        <w:rPr>
          <w:b/>
        </w:rPr>
        <w:t>E. 5</w:t>
      </w:r>
    </w:p>
    <w:p>
      <w:r>
        <w:t>L'appelant reproche aussi au premier juge de ne pas avoir tenu compte des "contributions volontaires", qui correspondent au paiement par ses soins de factures de téléphone portable de [...] et d'[...], à raison de 125 fr. 60 par mois en moyenne, et poursuit qu'il est ainsi erroné d'avoir posé que l'intimée assumait désormais seule la prise en charge financière de leurs deux enfants. Les charges de téléphone sont comprises dans le montant de base mensuel. Il n'y a donc pas lieu de tenir compte d'autres montants à ce titre. Par surabondance, on ajoutera que de telles charges – dont le paiement n'est pas contesté par l'intimée – n'ont pas à être ajoutées au montant de base de l'appelant, puisque pour déterminer le minimum vital du débirentier, il convient d'écarter les dépenses concernant les enfants</w:t>
      </w:r>
    </w:p>
    <w:p>
      <w:r>
        <w:t>- 18 - (ATF 137 III précité), à tout le moins lorsque, comme dans le cas d'espèce, il y a lieu de privilégier l'égalité de traitement entre tous les enfants. Au reste, l'addition de telles charges aux besoins des enfants crédirentiers ne serait pas à même de modifier le résultat final, puisqu'elle laissera subsister un disponible de quelque 653 fr. 40 (779 fr. - 125 fr. 60 [cf. infra ch. 9]).</w:t>
      </w:r>
    </w:p>
    <w:p>
      <w:r>
        <w:rPr>
          <w:b/>
        </w:rPr>
        <w:t>E. 6</w:t>
      </w:r>
    </w:p>
    <w:p>
      <w:r>
        <w:t>L'appelant critique le montant comptabilisé au titre des frais de transport de chacun de ses deux enfants. A son avis, les frais d'un abonnement général CFF ne se justifient pas, puisqu'il existe une alternative moins coûteuse, à savoir l'abonnement Mobilis, qui est un "titre de transport unique valable sur l'ensemble du périmètre de la communauté tarifaire vaudoise et ses 355 communes". La charge correspondant à un abonnement Mobilis n'est pas une charge effective, puisque les enfants n'ont pas contracté un abonnement de ce type, mais un abonnement général des Chemins de fer fédéraux. Il n'y a pas lieu en l'espèce de considérer que la dépense relative à l'abonnement CFF n'est pas indispensable, puisque les enfants, qui vivent à Vallorbe, doivent se rendre, pour l'un, deux fois par semaine à Lausanne et, pour l'autre, tous les jours, au Mont-sur-Lausanne. L'appelant reconnaît même avoir participé par le passé au paiement de l'abonnement général de [...]. L'option proposée n'a d'ailleurs pas été évoquée en première instance et l'économie – toute relative – qu'elle permettrait de réaliser ne serait pas à même d'influer sur le sort du litige, compte tenu de la situation financière de la mère (cf. infra ch. 7). Par conséquent, il n'y a pas lieu de s'écarter des charges de transport des enfants [...] et [...] telles qu'arrêtées par le premier juge.</w:t>
      </w:r>
    </w:p>
    <w:p>
      <w:r>
        <w:rPr>
          <w:b/>
        </w:rPr>
        <w:t>E. 7</w:t>
      </w:r>
    </w:p>
    <w:p>
      <w:r>
        <w:t>L'appelant ne conteste pas que les enfants vivent désormais chez leur mère et que cette dernière assume les charges liées à la nourriture, au blanchiment, au logement des enfants et s'acquitte des assurances maladie, des frais médicaux, de repas hors domicile de [...] et de transport des deux enfants. A l'exception de ces derniers frais – au</w:t>
      </w:r>
    </w:p>
    <w:p>
      <w:r>
        <w:t>- 19 - sujet desquels la critique de l'appelant a été écartée -, le montant des charges liées aux enfants n'est pas remis en cause par l'appelant. Il ne se justifie dès lors pas de s'en écarter. S'agissant des charges de la mère, l'appelant prétend que cette dernière vivrait en concubinage, ce qui aurait pour effet de diminuer une partie de ses charges et justifierait la prise en compte d'un demi- montant de base. Le concubinage de l'intimée aurait été "invoqué lors de l'audience", sans avoir été contesté par l'intéressée. Quoi qu'en dise l'appelant, on ne trouve aucune mention d'un tel concubinage dans les procès-verbaux d'audience et, encore moins, d'un acquiescement de l'intimée à un tel état de fait, qui n'a du reste pas été allégué par l'appelant en procédure. L'intimée conteste par ailleurs formellement vivre avec un tiers dans sa réponse à l'appel. Pour ces motifs, le grief est infondé. Cela étant, si l'on additionne les revenus des enfants (450 fr. + 700 fr.) à ceux de la mère (3'139 fr.), auxquels viennent s'ajouter les allocations familiales (500 fr.), on obtient, après déduction du montant de base mensuel pour un débiteur monoparental (1'350 fr.) et pour l'entretien des deux enfants (2 x 600 fr.) ainsi que des diverses charges (1'200 fr. [loyer] + 200 fr. [assurances maladie] + 105 fr. [franchise et participation aux frais médicaux] + 234 fr. [frais de transport de l'intimée] + 187 fr. [frais de transport [...]] + 195 fr. [frais de repas [...]] + 125 fr. [frais de transport [...]]), un manco de sept francs (4'796 fr. - 4'789 fr.). A supposer, comme le soutient l'appelant, que l'on tienne compte des revenus d'apprenti des adolescents pour réduire la pension due, il n'est pas établi que les besoins des enfants, tels qu'ils ressortent des recommandations édictées par l'Office de la jeunesse du canton de Zurich (ci-après : Tabelles zurichoises) (1'870 fr, pour un de deux enfants, cf. Revue de la protection des mineurs et des adultes [RMA] 2010, p. 87]), soient surcouverts par la contribution contestée et le revenu d'apprenti, d'autant que le Tribunal fédéral n'impute qu'une partie de la paie d'apprenti en première et deuxième année (TF 5C_106/2004 du 5 juillet</w:t>
      </w:r>
    </w:p>
    <w:p>
      <w:r>
        <w:t>- 20 - 2004, cité par Meier/Stettler, Droit de la filiation, 4è éd., p. 543 note infrapaginale 1999). Mal fondé, le moyen doit être rejeté.</w:t>
      </w:r>
    </w:p>
    <w:p>
      <w:r>
        <w:rPr>
          <w:b/>
        </w:rPr>
        <w:t>E. 8</w:t>
      </w:r>
    </w:p>
    <w:p>
      <w:r>
        <w:t>L'appelant conteste encore le montant arrêté au titre de ses revenus nets réalisés. Un montant de 6'519 fr. a été comptabilisé, alors que le jugement retient en fait que l'intéressé réalise un revenu de 6'319 fr. par mois, allocations familiales pour [...] (200 fr.) en sus. Le salaire net de l'appelant s'élève bien à 6'319 fr. et non pas à 6'519 fr., dès lors que les allocations familiales ne doivent pas être additionnées aux revenus du parent habilité à les percevoir, mais être déduites directement des besoins de l'enfant (ATF 137 III 59 c. 4.2.3, publié in SJ 2011 I p. 221; TF 5A_207/2011 du 26 septembre 2011). Il convenait ainsi de porter ce montant de 200 fr. en déduction des besoins propres liés à l'enfant [...]. Comme on le verra ci-après, cet élément, soulevé à bon droit par l'appelant, n'a toutefois pas d'incidence sur le fond.</w:t>
      </w:r>
    </w:p>
    <w:p>
      <w:r>
        <w:rPr>
          <w:b/>
        </w:rPr>
        <w:t>E. 9</w:t>
      </w:r>
    </w:p>
    <w:p>
      <w:r>
        <w:t>9.1 Compte tenu des charges de l'appelant retenues par le premier juge, son minimum vital est arrêté à 3'734 fr. 90 (850 fr. [1/2 base mensuelle] + 1'518 fr. [loyer] + 294 fr. 90 [assurance maladie] + 125 fr. [franchise et participation aux frais médicaux] + 402 fr. [frais de transport] + 195 fr. [frais de repas] + 350 fr. [impôts]), ce qui laisse un excédent de 2'584 fr. 10 (6'319 fr. - 3'734 fr. 90). [...] représente pour l'appelant une charge de 505 fr. 10 (400 fr. [minimum vital] + 105 fr. 10 [assurance maladie]), de laquelle il convient de déduire le montant perçu à titre d'allocations familiales, ce qui</w:t>
      </w:r>
    </w:p>
    <w:p>
      <w:r>
        <w:t>- 21 - représente au final un montant de 305 fr. 10 (505 fr. 10 - 200 fr.). D'autres charges relatives à l'enfant [...] n'ont pas été invoquées. Après déduction de cette dernière charge (305 fr. 10) et des contributions d'entretien mises à la charge de l'appelant (2 x 750 fr.), il lui reste un disponible de 779 fr. (2'584 fr. 10 - 305 fr. 10 - 1'500 fr.). Il lui resterait également un disponible suffisant, si l'on avait admis les frais de téléphone portable, à raison de 125 fr. 60 par mois, comme allégué par l'appelant. Il s'ensuit que le minimum vital de l'appelant n'est pas entamé par les contributions d'entretien qui ont été mises à sa charge.</w:t>
      </w:r>
    </w:p>
    <w:p>
      <w:r>
        <w:rPr>
          <w:b/>
        </w:rPr>
        <w:t>E. 9.2</w:t>
      </w:r>
    </w:p>
    <w:p>
      <w:r>
        <w:t>Cela étant, il convient d'examiner si les contributions litigieuses se justifient du fait des circonstances d'espèce. La convention sur les effets du divorce, ratifiée par le juge le 19 août 2003, précisait expressément que "le montant de la pension tient compte du fait que les enfants passeront la moitié du temps chez leur père". L'appelant ne conteste pas que, depuis décembre 2009, [...] et [...] vivent exclusivement chez leur mère (il a reconnu avoir exercé un droit de visite étendu jusqu'alors). Cette situation a pour conséquence de diminuer les charges du père, qui n'a ainsi plus à assumer les frais liés à la garde partagée de fait. A cela s'ajoute que les revenus mensuels de l'appelant ont passé de 4'821 fr. à 6'319 fr., augmentant ainsi de plus de vingt-cinq pour cent. Il ressort certes du jugement entrepris que la mère réalise un revenu de 3'139 fr. pour un taux d'activité de 71%, alors qu'elle percevait au moment du divorce un salaire de quelque 2'100 fr, pour une activité à 60%. Comme on l'a vu précédemment, le disponible de l'intimée ne permet pas de couvrir les besoins de ses enfants, déduction faite des allocations familiales et des revenus respectifs de ces derniers. L'augmentation de ses revenus est donc sans incidence sur la fixation de la contribution. A supposer même que l'intimée soit active à plein temps</w:t>
      </w:r>
    </w:p>
    <w:p>
      <w:r>
        <w:t>- 22 - sur le marché de l'emploi - ce que voudrait l'appelant -, l'amélioration de sa situation financière n'induirait pas une modification de la contribution d'entretien, dès lors que l'augmentation du revenu du parent gardien doit en principe profiter aux enfants, par des conditions de vie plus favorables, notamment par l'acquisition d'une meilleure formation, et ce en tout cas lorsque cette amélioration est due aux efforts que ledit parent fournit en travaillant davantage (ATF 108 II 83, JT 1983 I 608). Ce n'est que si la charge d'entretien devient déséquilibrée entre les parents, en particulier si elle devient excessivement lourde pour le parent débirentier qui aurait une condition modeste, qu'une modification ou suppression de la contribution d'entretien selon l'art. 286 al. 2 CC peut entrer en considération (ATF 134 III 337 c. 2.2.2; TF 5A_487/2010 du 3 mars 2011, c. 2.1.2). Tel n'est pas le cas en l'espèce, puisque la capacité du père a elle- même augmenté depuis le jugement de divorce et que ce dernier dispose des ressources suffisantes pour payer les contributions d'entretien, sans pour autant être réduit au minimum vital. L'éventuel vice de motivation de l'autorité précédente sur ce point, que dénonce l'appelant en invoquant une violation de son droit d'être entendu, doit par l'examen du présent grief être considéré comme réparé. En définitive, le montant fixé par le premier juge paraît équitable au vu de la situation financière de l'appelant. Il ne porte pas préjudice au troisième enfant du débirentier, [...], et est conforme à la jurisprudence vaudoise selon laquelle les 30 à 35% du revenu mensuel net d'un débiteur d'entretien parent de trois enfants mineurs doivent revenir à ces derniers (Bastons Bulleti, L'entretien après le divorce : méthodes de calcul, durée et limites, in SJ 2007 II 77 ss, spéc. p. 107 ss; RSJ 1984 p. 392 n° 4 et note p. 393; Meier/Stettler, Droit de la filiation, 4ème éd., n. 978, pp. 567-568; TF 5A_84/2007 précité c. 5.1). Il respecte enfin le principe de l'égalité de traitement entre les trois enfants (ATF 127 III 68 c. 2c; ATF 126 III 353). L'appréciation du premier juge ne souffre en définitive aucune critique s'agissant de la fixation de la contribution d'entretien de l'enfant mineur [...], et le moyen de l'appelant doit être rejeté.</w:t>
      </w:r>
    </w:p>
    <w:p>
      <w:r>
        <w:t>- 23 -</w:t>
      </w:r>
    </w:p>
    <w:p>
      <w:r>
        <w:rPr>
          <w:b/>
        </w:rPr>
        <w:t>E. 10</w:t>
      </w:r>
    </w:p>
    <w:p>
      <w:r>
        <w:t>Dans la mesure où l'enfant [...] est devenu majeur en cours de procédure, le 18 juin 2010, il convient de se demander si l'allocation de la contribution d'entretien se justifie pour la période allant au-delà de la majorité. Dans la convention sur les effets du divorce, les parties n'ont rien prévu pour la période postérieure à la majorité des enfants. Elles indiquent même précisément, à la suite du montant du montant de 450 fr., "dès lors et jusqu'à la majorité". Dans le cadre de sa demande en modification du jugement de divorce, la demanderesse (intimée) concluait au versement d'une pension mensuelle de 750 fr. par enfant, allocations familiales en plus, dès le 1er septembre 2009. Une telle contribution a été accordée par le premier juge "dès le décembre 2009, jusqu'à la majorité et, au-delà, jusqu'à l'achèvement de la formation professionnelle". Un effet rétroactif au 1er décembre 2009 a été admis, compte tenu de fait que les parties admettaient toutes deux que la diminution importante de la fréquence du droit de visite avait débuté en décembre 2009. L'appelant plaide uniquement le statu quo, indiquant expressément renoncer à une diminution des pensions. Les moyens qu'il développe démontrent qu'il admet devoir une contribution au-delà de la majorité de ses enfants, jusqu'à la fin de leur formation, et qu'il ne conteste que la quotité de cette contribution. Dès lors que [...], devenu majeur, a eu connaissance des conclusions au fond prises par sa mère, et les a approuvées, il était conforme à l'économie de procédure de statuer également sur les contributions postérieures à la majorité (ATF 129 III 55), ce à quoi l'appelant ne s'est pas opposé. Il convient donc de confirmer la contribution due à l'entretien de l'enfant majeur [...], telle qu'allouée par les premiers juges.</w:t>
      </w:r>
    </w:p>
    <w:p>
      <w:r>
        <w:t>- 24 -</w:t>
      </w:r>
    </w:p>
    <w:p>
      <w:r>
        <w:rPr>
          <w:b/>
        </w:rPr>
        <w:t>E. 11</w:t>
      </w:r>
    </w:p>
    <w:p>
      <w:r>
        <w:t>En conclusion, l'appel doit être rejeté et le jugement confirmé.</w:t>
      </w:r>
    </w:p>
    <w:p>
      <w:r>
        <w:rPr>
          <w:b/>
        </w:rPr>
        <w:t>E. 12</w:t>
      </w:r>
    </w:p>
    <w:p>
      <w:r>
        <w:t>Le bénéfice de l'assistance judiciaire a déjà été accordé à l'appelant par décision du 11 octobre 2011. Miriam Mazou, désignée comme conseil d'office, a droit à une rémunération équitable pour ses opérations et débours dans la procédure d'appel (art. 122 al. 1 let. a CPC). Le relevé des opérations produit le 9 février 2012 par la prénommée, qui annonce 9 h 54 consacrées à l'exercice de son mandat et 43 fr. 40 de débours, peut être admis. Le tarif horaire étant de 180 fr. pour l'avocat (art. 2 al. 1 let. a RAJ [règlement sur l'assistance judiciaire en matière civile du 7 décembre 2010; RSV 211.02.03]), l'indemnité de Me Miriam Mazou doit être ainsi être arrêtée à 1'782 fr. (180 : 60 x 594), TVA par 142 fr. 60 en sus, plus 43 fr. 40 de débours, TVA par 3 fr. 50 en sus, soit un montant total de 1'971 fr. en chiffres ronds. Vu l'indigence avérée de l'intimée, il convient d'admettre également sa requête d'assistance judiciaire, Me Renaud Lattion étant désigné comme conseil d'office pour la procédure d'appel, en l'astreignant à payer une franchise mensuelle de 50 fr. dès et y compris le 1er mars 2012, à verser auprès du Service juridique et législatif, case postale, à 1014 Lausanne. Le relevé des opérations produit le 10 février 2012 par le prénommé, qui annonce 9 h 50 consacrées à l'exercice de son mandat et 32 fr. 20 de débours, peut être admis. Au tarif horaire de 180 fr. pour l'avocat, l'indemnité de Me Renaud Lattion doit être ainsi être arrêtée à 1'770 fr. (180 : 60 x 592), TVA par 141 fr. 60 en sus, plus 32 fr. 20 de débours, TVA par 2 fr. 60 en sus, soit un montant total arrondi de 1'946 francs. Les frais judiciaires de deuxième instance, arrêtés à 600 fr. (art. 63 al. 1 TFJC [tarif des frais judiciaires en matière civile du 28 septembre 2010, RSV 270.11.5]) pour l'appelant qui succombe (art. 106 al. 1 CPC), sont laissés à la charge de l'Etat (art. 122 al. 1 let. b CPC).</w:t>
      </w:r>
    </w:p>
    <w:p>
      <w:r>
        <w:t>- 25 - L'intimée a droit à des dépens d'appel dont le principe et le montant relèvent de la procédure fédérale (art. 405 al. 1 CPC). Les dépens sont fixés (art. 105 al. 2 CPC) selon le tarif (art. 96 CPC) des dépens en matière civile (TDC [tarif des dépens en matière civile du 23 novembre 2010; RS 270.11.66]). En règle générale, la partie succombante (art. 106 al. 1 CPC) doit verser à la partie victorieuse tous les frais nécessaires causés par le litige (art. 37 al. 2 CDPJ [Code de droit privé judiciaire vaudois du 12 janvier 2010; RSV 211.02]). En l'espèce, il se justifie de fixer les dépens dus à l'intimée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