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JA09.039647 vom 10. November 2010</w:t>
      </w:r>
    </w:p>
    <w:p>
      <w:r>
        <w:t>VD Tribunal cantonal, 2010-11-10, FR</w:t>
      </w:r>
    </w:p>
    <w:p>
      <w:r>
        <w:rPr>
          <w:b/>
        </w:rPr>
        <w:t xml:space="preserve">Quelle: </w:t>
      </w:r>
      <w:r>
        <w:t>https://mcp.opencaselaw.ch/entscheid/vd_gerichte_JA09.039647</w:t>
      </w:r>
    </w:p>
    <w:p>
      <w:r>
        <w:t>FR: VD_GERICHTE JA09.039647 du 10 novembre 2010</w:t>
      </w:r>
    </w:p>
    <w:p>
      <w:r>
        <w:t>IT: VD_GERICHTE JA09.039647 del 10 novembre 2010</w:t>
      </w:r>
    </w:p>
    <w:p>
      <w:pPr>
        <w:pStyle w:val="Heading2"/>
      </w:pPr>
      <w:r>
        <w:t>Erwägungen</w:t>
      </w:r>
    </w:p>
    <w:p>
      <w:r>
        <w:rPr>
          <w:b/>
        </w:rPr>
        <w:t>E. 2</w:t>
      </w:r>
    </w:p>
    <w:p>
      <w:r>
        <w:t>Aucun paiement n'étant intervenu, une réquisition de poursuite a été adressée le 25 juin 2009 par O.________ SA à l'Office des</w:t>
      </w:r>
    </w:p>
    <w:p>
      <w:r>
        <w:t>- 3 - poursuites de Lausanne-Est et un commandement de payer n° [...], de l'Office des poursuites de Lausanne-Est a été notifié le 6 juillet 2009 à F.________ pour le paiement de : fr. 712.70 plus intérêt à 5% l'an dès le 19 juin 2009; de fr. 74.70 d'intérêts de retard dès l'échéance pro rata remporis [recte: temporis] jusqu'au 25 juin 2009; de fr. 8.90 correspondant aux frais du créancier, de fr. 181.75, à titre de dommages et intérêts; de fr. 50 représentant les frais de poursuites et de frais divers pour fr. 26.90. F.________ a immédiatement formé opposition totale au dit commandement de payer.</w:t>
      </w:r>
    </w:p>
    <w:p>
      <w:r>
        <w:rPr>
          <w:b/>
        </w:rPr>
        <w:t>E. 3</w:t>
      </w:r>
    </w:p>
    <w:p>
      <w:r>
        <w:t>La première juge a retenu que la cession de créance en faveur de la recourante était nulle car elle visait à détourner la législation sur la représentation professionnelle des parties (LReP; RSV 176.11, abrogée au 01.01.2011).</w:t>
      </w:r>
    </w:p>
    <w:p>
      <w:r>
        <w:t>- 5 -</w:t>
      </w:r>
    </w:p>
    <w:p>
      <w:r>
        <w:rPr>
          <w:b/>
        </w:rPr>
        <w:t>E. 3.1</w:t>
      </w:r>
    </w:p>
    <w:p>
      <w:r>
        <w:t>Aux termes de l'art. 3 LReP, nul ne peut représenter habituellement les parties devant les juges et tribunaux s'il n'est avocat ou agent d'affaires breveté. Il ressort de l'art. 4 al. 1 LReP qu'en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l'article 27, alinéa 2 LP (Loi fédérale du 11 avril 1889 sur la poursuite pour dettes et la faillite; RS 281.1). Selon la jurisprudence, lorsqu'une cession de créance a pour seul but d'éluder une prescription légale, elle est nulle en vertu de l'art. 20 CO (Loi fédérale du 30 mars 1911 complétant le code civil suisse [Livre cinquième: Droit des obligations]; RS 220).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(CPF 10 septembre 2009/285).</w:t>
      </w:r>
    </w:p>
    <w:p>
      <w:r>
        <w:rPr>
          <w:b/>
        </w:rPr>
        <w:t>E. 3.2</w:t>
      </w:r>
    </w:p>
    <w:p>
      <w:r>
        <w:t>En l'espèce, la créance invoquée en procédure a été cédée à la recourante par G.________ le 15 mai 2007. La recourante a ensuite entrepris des démarches pour le recouvrement de la créance les 16 mai et</w:t>
      </w:r>
    </w:p>
    <w:p>
      <w:r>
        <w:t>- 6 -</w:t>
      </w:r>
    </w:p>
    <w:p>
      <w:r>
        <w:rPr>
          <w:b/>
        </w:rPr>
        <w:t>E. 3.3</w:t>
      </w:r>
    </w:p>
    <w:p>
      <w:r>
        <w:t>O.________ SA observe qu'elle était valablement représentée par un agent d'affaires breveté devant le juge de paix.</w:t>
      </w:r>
    </w:p>
    <w:p>
      <w:r>
        <w:t>- 7 - Cet argument est sans pertinence, la représentation de la recourante n'étant pas en cause, mais la cession dont elle se prévaut.</w:t>
      </w:r>
    </w:p>
    <w:p>
      <w:r>
        <w:rPr>
          <w:b/>
        </w:rPr>
        <w:t>E. 3.4</w:t>
      </w:r>
    </w:p>
    <w:p>
      <w:r>
        <w:t>Enfin, O.________ SA laisse entendre que la première juge n'avait pas à examiner la question de la validité de la cession dès lors que F.________ était défaillant et que s'appliquait l'art. 306 CPC-VD. L'argument est là aussi infondé. L'art. 306 CPC-VD, applicable au juge de paix par le renvoi à l'art. 334 CPC-VD, pose la fiction pour ce qui concerne l'établissement des faits mais ne limite pas le pouvoir d'examen en droit du juge de paix. La première juge était donc habilitée à traiter la question de la validité de la cession. 4. En définitive, la solution retenue par la première juge ne peut être qualifiée d'arbitraire et le recours doit être rejeté, en application de l'art. 465 al. 1 CPC-VD. Les frais de deuxième instance de la recourante sont arrêtés à 150 fr. (art. 230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de la recourante O.________ SA sont arrêtés à 150 fr. (cent cinquante francs).</w:t>
      </w:r>
    </w:p>
    <w:p>
      <w:r>
        <w:t>- 8 - IV. L'arrêt motivé est exécutoire. Le président : La greffière : Du 10 novembre 2010 Le dispositif de l'arrêt qui précède est communiqué par écrit aux intéressés. La greffière : Du 16 mars 2011 L'arrêt qui précède, dont la rédaction a été approuvée à huis clos, est notifié en expédition complète, par l'envoi de photocopies, à : - M. Christophe Savoy (pour O.________ SA), - M. F.________. La Chambre des recours considère que la valeur litigieuse est de 874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r>
        <w:rPr>
          <w:b/>
        </w:rPr>
        <w:t>E. 5</w:t>
      </w:r>
    </w:p>
    <w:p>
      <w:r>
        <w:t>juin 2007 puis a fait notifier le 25 juin 2009 un commandement de payer. Selon le registre du commerce, le but social de la recourante tend uniquement à l'encaissement, à la facturation et au recouvrement de créances. Elle exerce ainsi l'activité d'encaissement de créances à titre professionnel. Comme l'a relevé la première juge, les démarches aussitôt entreprises après la cession dénotent que la cession avait pour unique but de permettre à O.________ SA de continuer à défendre les intérêts de G.________, le cas échéant dans une procédure de poursuite, voire judiciaire. Cette analyse n'apparaît pas arbitraire, c'est-à-dire manifestement insoutenable. La recourante ne conteste d'ailleurs pas qu'elle a agi "en qualité de cessionnaire de la créance aux fins de recouvrement" et elle admet même que "le dépôt de la réquisition de poursuite" qu'elle a initié "violait notamment l'art. 4 LReP, applicable à la représentation des parties en matière de poursuites pour dettes et faillite" (mémoire de recours p. 3). O.________ SA reproche cependant à la juge de paix de ne pas avoir fait application de l'art. 17 CPC-VD si elle considérait cette manière de procéder comme irrégulière. L'argument de O.________ SA est infondé, l'art. 17 CPC-VD étant ici sans portée. En effet, cette disposition laisse au juge la possibilité d'accorder à la partie dont l'acte est entaché d'un vice de forme, un court délai pour réparer ce vice. Or, dans le cas d'espèce, le point litigieux ne réside pas dans un vice de forme, mais dans la nullité de la cession au regard de l'art. 20 CO dès lors que la cession tend à éluder la LReP. La nullité de la cession a pour conséquence que la recourante n'est pas titulaire de la créance, ce qui implique le rejet de sa demande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