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JA09.025351 vom 7. Oktober 2015</w:t>
      </w:r>
    </w:p>
    <w:p>
      <w:r>
        <w:t>VD Tribunal cantonal, 2015-10-07, FR</w:t>
      </w:r>
    </w:p>
    <w:p>
      <w:r>
        <w:rPr>
          <w:b/>
        </w:rPr>
        <w:t xml:space="preserve">Quelle: </w:t>
      </w:r>
      <w:r>
        <w:t>https://mcp.opencaselaw.ch/entscheid/vd_gerichte_JA09.025351</w:t>
      </w:r>
    </w:p>
    <w:p>
      <w:r>
        <w:t>FR: VD_GERICHTE JA09.025351 du 7 octobre 2015</w:t>
      </w:r>
    </w:p>
    <w:p>
      <w:r>
        <w:t>IT: VD_GERICHTE JA09.025351 del 7 ottobre 2015</w:t>
      </w:r>
    </w:p>
    <w:p>
      <w:pPr>
        <w:pStyle w:val="Heading2"/>
      </w:pPr>
      <w:r>
        <w:t>Erwägungen</w:t>
      </w:r>
    </w:p>
    <w:p>
      <w:r>
        <w:rPr>
          <w:b/>
        </w:rPr>
        <w:t>E. 3</w:t>
      </w:r>
    </w:p>
    <w:p>
      <w:r>
        <w:t>a) L'intimée fait valoir que dès l'entrée en force du jugement de divorce le 24 juin 1993 et jusqu'au début 2009, le recourant a pris en charge l'impôt relatif à la rente au taux applicable à l'entier des revenus imposables, revenus qui comportaient la valeur locative du lot de PPE dont l'intimée était devenue unique propriétaire après le divorce. La volonté réelle du recourant aurait ainsi été de prendre en charge l'impact réel de l'impôt sur le revenu et non pas seulement l'impôt théorique calculé sur la seule base de la rente. Cette volonté, concordant avec celle de l'intimée, qui a accepté ces versements, c'est cette interprétation subjective qui doit être privilégiée. Quant au recourant, il soutient que la volonté commune des parties ne peut pas être déduite des deux lettres produites à l'appui de la</w:t>
      </w:r>
    </w:p>
    <w:p>
      <w:r>
        <w:t>- 9 - requête d'interprétation du 20 juillet 2009. Celle du 2 mars 2009, rédigée au conditionnel, réserve sans autre précision l'éventuelle compensation des montants excédentaires qui auraient été versés au cours des années antérieures. Quant à la lettre du 11 mai 2009, elle a été rédigée par le conseil du recourant et ne saurait donc être décisive pour interpréter la volonté du recourant lui-même. En outre, rien ne permet de retenir qu'il aurait été conscient de la question de la progressivité de l'impôt et qu'il aurait délibérément consenti à assumer une charge fiscale supérieure à celle qui lui incombait. En définitive, il appartenait à l'intimée de produire les déclarations fiscales et les décisions de taxation démontrant une application durable de la convention selon l'interprétation qu'elle en fait. A défaut d'avoir produit ces documents dans la procédure de première instance, elle échoue à en faire la preuve. b) La thèse de l'intimée selon laquelle le recourant aurait assumé durant seize ans la charge fiscale relative à la rente au taux applicable à l'entier de ses revenus ne trouve pas un appui suffisant dans le dossier et ne résulte en particulier pas des pièces invoquées. Si l'on peut effectivement concevoir que la valeur locative de l'immeuble dont elle est devenue propriétaire exclusive après le divorce faisait partie de la charge fiscale éventuellement assumée par le recourant, il n'en va pas de même de celle découlant de l'addition de la rente viagère avec la rente AVS versée à l'intimée à partir d'une date qui reste indéterminée. Or, s'il découle de la convention que la volonté des parties était d'assurer à G.________, un logement dans un appartement en propriété, les charges de PPE et l'impôt foncier étant assumés par A.________, ainsi qu'une rente viagère pour couvrir les besoins de celle-ci, la charge fiscale de cette rente étant assumée par le recourant, il n'en va pas de même de la charge fiscale résultant d'un accroissement des revenus en raison d'une autre rente. On ne peut absolument rien déduire de la correspondance invoquée par l'intimée au sujet de la volonté du recourant de participer à un accroissement de cette charge fiscale. Comme le souligne ce dernier, il</w:t>
      </w:r>
    </w:p>
    <w:p>
      <w:r>
        <w:t>- 10 - appartenait à l'intimée, pour l'établir, de produire les documents fiscaux permettant de démontrer que le recourant avait durablement et consciemment accepté cette augmentation. Il n'y a dès lors aucune raison de modifier l'état de fait retenu par la Cour de céans dans son arrêt du 15 septembre 2014 et son dispositif doit en conséquence être confirmé.</w:t>
      </w:r>
    </w:p>
    <w:p>
      <w:r>
        <w:rPr>
          <w:b/>
        </w:rPr>
        <w:t>E. 4</w:t>
      </w:r>
    </w:p>
    <w:p>
      <w:r>
        <w:t>L'intimée, qui succombe (art. 106 al. 1 CPC), doit verser au recourant un montant de 500 fr. à titre de dépens pour la procédure de recours après l'arrêt rendu par le Tribunal fédéral (art. 8 al. 1 et 20 al. 2 TDC [tarif des dépens en matière civile du 23 novembre 2010 ; RSV 270.11.6]) La requête en fourniture de sûretés déposée par l'intimée le 23 septembre 2015 est sans objet. Le présent arrêt peut être rendu sans frais judiciaires.</w:t>
      </w:r>
    </w:p>
    <w:p>
      <w:r>
        <w:rPr>
          <w:b/>
        </w:rPr>
        <w:t>E. 5</w:t>
      </w:r>
    </w:p>
    <w:p>
      <w:r>
        <w:t>Il convient de rectifier d’office (art. 334 al. 1 CPC) le chiffre I du dispositif adressé aux parties le 8 octobre 2015 en ce sens que le dispositif de l'arrêt rendu le 15 septembre 2014 (et non le 14 septembre 2014) est confirmé. Par ces motifs, la Chambre des recours civile du Tribunal cantonal, prononce : I. Le dispositif de l’arrêt rendu le 15 septembre 2014 est confirmé.</w:t>
      </w:r>
    </w:p>
    <w:p>
      <w:r>
        <w:t>- 11 - II. L’intimée G.________, doit verser au recourant A.________ la somme de 500 fr. (cinq cents francs) à titre de dépens pour la procédure de recours après l’arrêt du Tribunal fédéral. III. L’arrêt motivé, rendu sans frais, est exécutoire. Le président : Le greffier : Du 8 octobre 2015 Le dispositif de l'arrêt qui précède est communiqué par écrit aux intéressés. Le greffier : Du L'arrêt qui précède, dont la rédaction a été approuvée à huis clos, est notifié en expédition complète, par l'envoi de photocopies, à : - Me Raymond Didisheim (pour A.________) - Me Alexandre Bernel (pour G.________)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w:t>
      </w:r>
    </w:p>
    <w:p>
      <w:r>
        <w:t>- 12 -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