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JA09.019455 vom 28. Oktober 2009</w:t>
      </w:r>
    </w:p>
    <w:p>
      <w:r>
        <w:t>VD Tribunal cantonal, 2009-10-28, FR</w:t>
      </w:r>
    </w:p>
    <w:p>
      <w:r>
        <w:rPr>
          <w:b/>
        </w:rPr>
        <w:t xml:space="preserve">Quelle: </w:t>
      </w:r>
      <w:r>
        <w:t>https://mcp.opencaselaw.ch/entscheid/vd_gerichte_JA09.019455</w:t>
      </w:r>
    </w:p>
    <w:p>
      <w:r>
        <w:t>FR: VD_GERICHTE JA09.019455 du 28 octobre 2009</w:t>
      </w:r>
    </w:p>
    <w:p>
      <w:r>
        <w:t>IT: VD_GERICHTE JA09.019455 del 28 ottobre 2009</w:t>
      </w:r>
    </w:p>
    <w:p>
      <w:pPr>
        <w:pStyle w:val="Heading2"/>
      </w:pPr>
      <w:r>
        <w:t>Erwägungen</w:t>
      </w:r>
    </w:p>
    <w:p>
      <w:r>
        <w:rPr>
          <w:b/>
        </w:rPr>
        <w:t>E. 1</w:t>
      </w:r>
    </w:p>
    <w:p>
      <w:r>
        <w:t>a) Les art. 444, 447 et 451 ch. 4 CPC (Code de procédure civile du 14 décembre 1966; RSV 270.11) ouvrent la voie des recours en nullité et en réforme – dans la mesure pour ce dernier où la valeur litigieuse dépasse 1'000 fr. – contre les jugements principaux rendus par un juge de paix. Lorsque la valeur litigieuse n'excède pas 1'000 fr., seul un recours pour déni de justice est ouvert (Poudret/Haldy/Tappy, Procédure civile vaudoise, 2002, n. 4 ad art. 355 CPC; art. 356 CPC; art. 113 al. 2 de la loi du 12 décembre 1979 d'organisation judiciaire, ci-après : LOJV; RSV 173.01). b) En l'espèce, le litige porte sur une action nominative d'une valeur nominale de 1'000 francs. On ignore toutefois si la valeur économique de l'action est inférieure ou supérieure à sa valeur nominale,</w:t>
      </w:r>
    </w:p>
    <w:p>
      <w:r>
        <w:t>- 5 - de sorte qu'il convient d'examiner la cause avec un plein pouvoir d'examen en droit. c) Dans le cadre d'un recours en réforme contre le jugement d'un juge de paix, la Chambre des recours doit admettre comme constants les faits constatés, sous réserve d'une contradiction avec les pièces du dossier (art. 457 al. 1 CPC). Hormis cette réserve, elle n'est donc pas habilitée, dans le cadre d'un recours en réforme, à revoir et corriger l'état de fait établi par un juge de paix. Le recours en nullité offre seul la possibilité de s'en prendre à l'établissement des faits à l'égard d'un jugement rendu par un juge de paix. Dans ce cadre, le grief tenant à l'appréciation arbitraire des preuves peut, en particulier, être soulevé.</w:t>
      </w:r>
    </w:p>
    <w:p>
      <w:r>
        <w:rPr>
          <w:b/>
        </w:rPr>
        <w:t>E. 2</w:t>
      </w:r>
    </w:p>
    <w:p>
      <w:r>
        <w:t>Le recourant relève que, dans sa demande, il avait requis production par l'intimée de son registre des actions, et conteste le retrait par celle-ci de la pièce correspondante de son bordereau. Ce grief touche à l'établissement des faits et à l'administration des preuves, de sorte qu'il relève du recours en nullité, soit de l'art. 447 ch. 3 CPC (Poudret/Haldy/Tappy, op. cit., n. 3 ad art. 163 CPC, p. 298) qui soumet la recevabilité de ce moyen à la consignation de la réquisition au procès verbal. Compte tenu du sort à accorder au dit grief, il importe peu qu'en l'espèce, le recourant n'ait pas formellement conclu à l'annulation du jugement de première instance. En effet, le procès verbal de l'audience du 7 juillet 2009 fait état de la clôture de l'instruction sans mentionner que le recourant se serait opposé au retrait de la pièce 104 et aurait persisté à requérir la production du registre des actions. Le recourant a certes réagi à ce retrait par courrier adressé le 13 juillet 2009 au juge de paix, soit après la clôture de l'instruction, de sorte que cette manifestation est sans portée.</w:t>
      </w:r>
    </w:p>
    <w:p>
      <w:r>
        <w:t>- 6 - Dès lors que le recourant a laissé l'instruction se clore sans requérir de mesure d'instruction complémentaire, il n'est plus habilité à se plaindre d'une quelconque violation à cet égard. Ce premier grief est donc irrecevable.</w:t>
      </w:r>
    </w:p>
    <w:p>
      <w:r>
        <w:rPr>
          <w:b/>
        </w:rPr>
        <w:t>E. 3</w:t>
      </w:r>
    </w:p>
    <w:p>
      <w:r>
        <w:t>Le recourant réclame la délivrance de l'action nominative qu'il a souscrite le 25 février 2000. Il ressort du jugement et des pièces que le 12 avril 2006 le recourant a signé deux actes par lesquels il s'est déclaré entièrement désintéressé de toutes ses créances en principal et accessoire, de toutes prétentions ainsi que des titres y afférents, à l'égard des sociétés N.________ SA et L.________ SA. Cette déclaration doit être comprise comme une reconnaissance de dette négative. En effet, selon la jurisprudence, la quittance pour solde de comptes contient non seulement une quittance, par laquelle un créancier reconnaît que le débiteur a exécuté sa prestation, mais également une reconnaissance négative de dette, soit une déclaration de volonté par laquelle une personne reconnaît n'avoir pas ou plus de prétention à faire valoir relativement à une créance ou un rapport de droit. Une telle reconnaissance, si elle porte sur une dette existante, s'analyse comme une remise de dette (TF 4A_97/2007 du 10 octobre 2007 c. 3.2; ATF 127 III 444). Lorsque la volonté intime et concordante des parties ne peut être établie (art. 18 al. 1 CO; Code des obligations du 30 mars 1911; RS 220), la reconnaissance négative de dette, comme toute déclaration de volonté, doit s'interpréter selon le principe de la confiance, soit en recherchant comment elle pouvait être comprise de bonne foi en fonction de l'ensemble des circonstances (ATF 133 III 61 c. 2.2.1; ATF 125 III 305, c. 2b et références). Le principe de la confiance permet d'imputer à une partie le sens objectif de sa déclaration même si celle-ci ne correspond pas à la volonté intime de l'intéressé (ATF 133 précité et références).</w:t>
      </w:r>
    </w:p>
    <w:p>
      <w:r>
        <w:t>- 7 - En l'espèce, au vu des éléments au dossier, la déclaration émise ne pouvait être comprise de bonne foi que comme une renonciation du recourant à toute prétention, de nature personnelle ou réelle, à l'égard de l'intimée. Son engagement du 12 avril 2006 doit dès lors être qualifié de reconnaissance négative de dette et, dès lors qu'il n'est entaché d'aucun vice du consentement, lui est opposable, de sorte qu'il n'est plus légitimé à émettre d'action en revendication à l'égard de l'intimée. En effet, les inscriptions au registre des actionnaires ne sont pas déterminantes pour trancher la validité d'une cession d'action(s), ce registre ne déployant d'effets que sur les droits des actionnaires (art. 686 al. 4 CO). Quant à la restriction de transmissibilité statutaire, elle ne fait que soumettre le transfert d'action(s) à l'approbation de la société (art. 685a CO), dite approbation étant réputée accordée dans le délai de l'art. 685c al. 3 CO. Enfin, le recourant n'a pas établi que les conditions d'application de la loi fédérale du 4 octobre 1991 sur le droit foncier rural (LDFR; RS 211.412.11), définies aux art. 2 et 3 LDFR, étaient réalisées.</w:t>
      </w:r>
    </w:p>
    <w:p>
      <w:r>
        <w:rPr>
          <w:b/>
        </w:rPr>
        <w:t>E. 4</w:t>
      </w:r>
    </w:p>
    <w:p>
      <w:r>
        <w:t>En conclusion, le recours doit être rejeté en application de l'art. 465 al. 1 CPC et le jugement confirmé. Les frais de deuxième instance du recourant sont arrêtés à 200 fr. (art. 230 TFJC).</w:t>
      </w:r>
    </w:p>
    <w:p>
      <w:r>
        <w:t>- 8 - Par ces motifs, la Chambre des recours du Tribunal cantonal, statuant à huis clos, en application de l'art. 465 al. 1 CPC, prononce : I. Le recours est rejeté. II. Le jugement est confirmé. III. Les frais de deuxième instance du recourant A.C.________ sont arrêtés à 200 fr. (deux cents francs). IV. L'arrêt motivé est exécutoire. Le président : La greffière : Du 28 octobre 2009 Le dispositif de l'arrêt qui précède est communiqué par écrit aux intéressés. La greffière :</w:t>
      </w:r>
    </w:p>
    <w:p>
      <w:r>
        <w:t>- 9 - Du L'arrêt qui précède, dont la rédaction a été approuvée à huis clos, est notifié en expédition complète, par l'envoi de photocopies, à : - M. A.C.________, - M.________ SA. La Chambre des recours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