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IZ10.004883 vom 14. September 2010</w:t>
      </w:r>
    </w:p>
    <w:p>
      <w:r>
        <w:t>VD Tribunal cantonal, 2010-09-14, FR</w:t>
      </w:r>
    </w:p>
    <w:p>
      <w:r>
        <w:rPr>
          <w:b/>
        </w:rPr>
        <w:t xml:space="preserve">Quelle: </w:t>
      </w:r>
      <w:r>
        <w:t>https://mcp.opencaselaw.ch/entscheid/vd_gerichte_IZ10.004883</w:t>
      </w:r>
    </w:p>
    <w:p>
      <w:r>
        <w:t>FR: VD_GERICHTE IZ10.004883 du 14 septembre 2010</w:t>
      </w:r>
    </w:p>
    <w:p>
      <w:r>
        <w:t>IT: VD_GERICHTE IZ10.004883 del 14 settembre 2010</w:t>
      </w:r>
    </w:p>
    <w:p>
      <w:pPr>
        <w:pStyle w:val="Heading2"/>
      </w:pPr>
      <w:r>
        <w:t>Erwägungen</w:t>
      </w:r>
    </w:p>
    <w:p>
      <w:r>
        <w:rPr>
          <w:b/>
        </w:rPr>
        <w:t>E. 3</w:t>
      </w:r>
    </w:p>
    <w:p>
      <w:r>
        <w:t>En conclusion, le recours doit être admis et le chiffre V de la décision annulé, la décision étant confirmée pour le surplus. L'arrêt est rendu sans frais. Il n’y a pas lieu d’allouer des dépens, la justice de paix n’agissant pas comme partie (Poudret/Haldy/Tappy, op. cit., n. 2 ad art. 396 CPC; JT 2001 III 122).</w:t>
      </w:r>
    </w:p>
    <w:p>
      <w:r>
        <w:t>- 9 - Par ces motifs, la Chambre des recours du Tribunal cantonal, statuant à huis clos, prononce : I. Le recours est admis. II. Le chiffre V de la décision est annulé, la décision étant confirmée pour le surplus. III. L'arrêt est rendu sans frais ni dépens. IV. L'arrêt motivé est exécutoire. Le président : La greffière : Du 14 septembre 2010 Le dispositif de l'arrêt qui précède est communiqué par écrit aux intéressés. La greffière :</w:t>
      </w:r>
    </w:p>
    <w:p>
      <w:r>
        <w:t>- 10 - Du L'arrêt qui précède, dont la rédaction a été approuvée à huis clos, est notifié en expédition complète, par l'envoi de photocopies, à : - Me Pierre-André Oberson (pour V.________), - Me F.________. La Chambre des recours considère que la valeur litigieuse est de 2’826 francs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