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IR10.013471 vom 15. April 2014</w:t>
      </w:r>
    </w:p>
    <w:p>
      <w:r>
        <w:t>VD Tribunal cantonal, 2014-04-15, FR</w:t>
      </w:r>
    </w:p>
    <w:p>
      <w:r>
        <w:rPr>
          <w:b/>
        </w:rPr>
        <w:t xml:space="preserve">Quelle: </w:t>
      </w:r>
      <w:r>
        <w:t>https://mcp.opencaselaw.ch/entscheid/vd_gerichte_IR10.013471</w:t>
      </w:r>
    </w:p>
    <w:p>
      <w:r>
        <w:t>FR: VD_GERICHTE IR10.013471 du 15 avril 2014</w:t>
      </w:r>
    </w:p>
    <w:p>
      <w:r>
        <w:t>IT: VD_GERICHTE IR10.013471 del 15 aprile 2014</w:t>
      </w:r>
    </w:p>
    <w:p>
      <w:pPr>
        <w:pStyle w:val="Heading2"/>
      </w:pPr>
      <w:r>
        <w:t>Erwägungen</w:t>
      </w:r>
    </w:p>
    <w:p>
      <w:r>
        <w:rPr>
          <w:b/>
        </w:rPr>
        <w:t>E. 1</w:t>
      </w:r>
    </w:p>
    <w:p>
      <w:r>
        <w:t>Le recours est dirigé contre une décision de la justice de paix refusant d’approuver les comptes 2012 et 2013 établis par Z.________ dans le cadre de la curatelle instituée en faveur de C.________.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w:t>
      </w:r>
    </w:p>
    <w:p>
      <w:r>
        <w:t>- 6 - Kommentar, Erwachsenenschutz, 2012,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le curateur relevé de ses fonctions, le recours est recevable. Il en va de même des pièces produites en deuxième instance. Le recours étant manifestement mal fondé au vu des considérations qui seront développées ci-après, il a été renoncé à consulter l'autorité de protection (cf. art. 450d al. 1 CC; Reusser, Basler Kommentar, op. cit., nn. 6 ss ad art. 450d CC, pp. 657 et 658).</w:t>
      </w:r>
    </w:p>
    <w:p>
      <w:r>
        <w:rPr>
          <w:b/>
        </w:rPr>
        <w:t>E. 2</w:t>
      </w:r>
    </w:p>
    <w:p>
      <w:r>
        <w:t>Le recourant conteste le refus de la justice de paix d’approuver les comptes 2012 et 2013. Il affirme qu’ils ont été établis en bonne et due forme, accompagnés d’annexes explicatives propres à éclairer et à établir leur bonne exactitude. a) 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elle examine les rapports du curateur et demande au besoin des compléments (al. 2) et elle prend, si nécessaire, les mesures propres à sauvegarder les intérêts de la personne concernée (al. 3). L’art. 425 CC, dont le contenu correspond pour l’essentiel aux art. 451 à 453 aCC, prévoit notamment qu’au terme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w:t>
      </w:r>
    </w:p>
    <w:p>
      <w:r>
        <w:t>- 7 - Une fois les comptes produits, leur examen se fait par un ou deux membre (s) de l’autorité de protection. Les intéressés vérifient l’exactitude, la légalité et l’opportunité des opérations auxquelles le curateur a procédé (art. 11 al. 1 RAM [Règlement concernant l’administration des mandats de protection du 18 décembre 2012, RSV 211.255.1]). Ils contrôlent en particulier l’état des revenus et dépenses, l’état de la fortune, les changements intervenus dans les avoirs et les placements de la personne concernée et s’assurent de l’existence des biens appartenant à celle-ci (Biderbost, CommFam, Protection de l’adulte, Berne 2013, n. 4 ad art. 415 CC, p. 575; art. 11 al. 1 RAM). S’ils en éprouvent le besoin, les membres de l’autorité de protection peuvent demander toutes explications utiles au curateur, notamment lorsque des pièces font défaut ou lorsqu’un point particulier se trouve insuffisamment documenté (Biderbost, op. cit., n. 8 ad art. 415 CC, p. 577). L’examen des comptes ne se limite pas à un simple contrôle des pièces comptables, mais implique une vérification complète des écritures et des justificatifs correspondants; des écritures sans justificatifs peuvent néanmoins être admises, selon leur degré de vraisemblance. Sur la base du résultat des contrôles effectués, l’autorité de protection accorde ou non son approbation (Biderbost, op. cit., n. 9 ad art. 415 CC, p. 577; art. 11 al. 2 RAM). Si le compte ne peut être approuvé et que le curateur ne le rectifie pas, l’autorité de protection le fait corriger, en règle générale, aux frais de celui-ci et, s’il y a lieu, prend là également les mesures prévues par les art. 415 al. 3 et 423 CC, les poursuites pénales étant réservées (art. 12 al. 2 RAM). Sous l’ancien droit, la décision d'approbation des comptes n'avait aucun effet immédiat de droit matériel. Elle n'avait pas pour conséquence la décharge définitive du tuteur ou du curateur, dont la responsabilité selon les art. 426 et 451 aCC n'était pas touchée par l'approbation des comptes (Affolter, Basler Kommentar, Zivilgesetzbuch I, 4e éd., 2010, n. 60 ad art. 451-453 aCC, p. 2261). En d'autres termes, l'action en responsabilité n'était pas tenue en échec par l'approbation des comptes (Deschenaux/Steinauer, Personnes physiques et tutelle, 4e éd., Berne 2001, n. 1078, p. 406; Geiser, Basler Kommentar, Zivilgesetzbuch I,</w:t>
      </w:r>
    </w:p>
    <w:p>
      <w:r>
        <w:t>- 8 - 4e éd., 2010, n. 6 ad art. 423 aCC, p. 2172). Ce principe continue à prévaloir sous l’empire du nouveau droit de la protection de l’adulte (cf. art. 415 et 454 CC; CCUR 10 juillet 2013/186; Vogel, Basler Kommentar, Erwachsenenschutz, 2012, n. 11 ad art. 415 CC, p. 390; Biderbost, op. cit., n. 9 ad art. 415 CC, p. 577). L'art. 425 al. 3 CC prescrit d'ailleurs que l'autorité de protection rend la personne concernée ou ses héritiers attentives aux dispositions sur la responsabilité. Dans ce cas, c’est toutefois au juge que doivent s’adresser le pupille ou ses héritiers, dans le cadre d’une action civile ordinaire. La non-approbation ou l’approbation seulement partielle du rapport d’activité et/ou des comptes finaux ne font pas obstacle à la libération des fonctions du mandataire (Rosch, CommFam, op. cit., n. 23 ad art. 425 CC, p. 662). b) En l’espèce, il ressort du dossier que les factures de C.________ ont été payées tant par les comptes privés de ce dernier que par le compte de l’hoirie. Dans son courrier du 24 mars 2014, l’assesseur relève que le plan comptable élaboré par le recourant prête à confusion, notamment parce que plusieurs factures adressées au nom de C.________ sont payées tantôt par l’intermédiaire du compte BCV de ce dernier, tantôt par le compte Postfinance ouvert au nom de la succession E.V.________, dont les héritiers sont ses enfants, soit A.V.________ et C.________; dans ce dernier cas, les écritures correspondantes se chevauchent ce qui rend le contrôle laborieux et fastidieux, les pièces nécessaires n’ayant au surplus pas toutes été produites. Ces faits ne sont pas contestés par le recourant. En effet, lors de son audition par la justice de paix le 31 octobre 2013, ce dernier a reconnu être au bénéfice d’une procuration sur un compte de la succession qui lui permettait de faire face tant aux dépenses de son pupille qu’à celles de la succession. Par ailleurs, le recourant n’a pas été en mesure et n’est d’ailleurs toujours pas en mesure de produire toutes les factures nécessaires à la vérification de la comptabilité, dès lors que son pupille se faisait adresser ses factures chez lui afin de garder son indépendance. Enfin, il n’est pas contesté que des explications ont été demandées au recourant à plusieurs reprises, mais que la comptabilité reste invérifiable au regard du mélange des comptes et de l’absence de certaines pièces justificatives.</w:t>
      </w:r>
    </w:p>
    <w:p>
      <w:r>
        <w:t>- 9 - Il résulte de ce qui précède que c’est à juste titre que les premiers juges ont refusé d’approuver les comptes 2012 et 2013 établis par le recourant et en ont uniquement pris acte. Au surplus, c’est à tort que le recourant pense pouvoir obtenir une décharge définitive de par la seule approbation des comptes, celle-ci n’ayant aucun effet immédiat de droit matériel (cf. supra c. 2a).</w:t>
      </w:r>
    </w:p>
    <w:p>
      <w:r>
        <w:rPr>
          <w:b/>
        </w:rPr>
        <w:t>E. 3</w:t>
      </w:r>
    </w:p>
    <w:p>
      <w:r>
        <w:t>En définitive, le recours interjeté par Z.________ doit être rejeté et la décision entreprise confirmée. Les frais judiciaires de deuxième instance, arrêtés à 300 fr. (art. 74a al. 1 TFJC [Tarif du 28 septembre 2010 des frais judiciaires civils, RSV 270.11.5]),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arrêtés à 300 fr. (trois cents francs), sont mis à la charge du recourant, Z.________. IV. L'arrêt motivé est exécutoire. La présidente : La greffière :</w:t>
      </w:r>
    </w:p>
    <w:p>
      <w:r>
        <w:t>- 10 - Du 15 avril 2014 Le dispositif de l'arrêt qui précède est communiqué par écrit aux intéressés. La greffière : Du L'arrêt qui précède, dont la rédaction a été approuvée à huis clos, est notifié à : - M. Z.________, - M. C.________, et communiqué à : - Justice de paix du district d’Aigle, par l'envoi de photocopies.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