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HX25.035348 vom 28. Juli 2025</w:t>
      </w:r>
    </w:p>
    <w:p>
      <w:r>
        <w:t>VD Tribunal cantonal, 2025-07-28, FR</w:t>
      </w:r>
    </w:p>
    <w:p>
      <w:r>
        <w:rPr>
          <w:b/>
        </w:rPr>
        <w:t xml:space="preserve">Quelle: </w:t>
      </w:r>
      <w:r>
        <w:t>https://mcp.opencaselaw.ch/entscheid/vd_gerichte_HX25.035348</w:t>
      </w:r>
    </w:p>
    <w:p>
      <w:r>
        <w:t>FR: VD_GERICHTE HX25.035348 du 28 juillet 2025</w:t>
      </w:r>
    </w:p>
    <w:p>
      <w:r>
        <w:t>IT: VD_GERICHTE HX25.035348 del 28 luglio 2025</w:t>
      </w:r>
    </w:p>
    <w:p>
      <w:pPr>
        <w:pStyle w:val="Heading2"/>
      </w:pPr>
      <w:r>
        <w:t>Erwägungen</w:t>
      </w:r>
    </w:p>
    <w:p>
      <w:r>
        <w:rPr>
          <w:b/>
        </w:rPr>
        <w:t>E. 1</w:t>
      </w:r>
    </w:p>
    <w:p>
      <w:r>
        <w:t>Par acte du 17 mai 2025, [...] et [...] ont déposé une requête à l’encontre de la recourante devant la Commission de conciliation en matière de baux à loyer du district d’Aigle (ci-après : la commission de conciliation) concernant l’appartement qu’ils louaient à la recourante sis rue [...], [...].</w:t>
      </w:r>
    </w:p>
    <w:p>
      <w:r>
        <w:rPr>
          <w:b/>
        </w:rPr>
        <w:t>E. 2</w:t>
      </w:r>
    </w:p>
    <w:p>
      <w:r>
        <w:t>Les parties ont été citées à comparaître par courrier du 10 juin 2025 pour une audience agendée le 24 juin 2025.</w:t>
      </w:r>
    </w:p>
    <w:p>
      <w:r>
        <w:t>- 3 -</w:t>
      </w:r>
    </w:p>
    <w:p>
      <w:r>
        <w:rPr>
          <w:b/>
        </w:rPr>
        <w:t>E. 3</w:t>
      </w:r>
    </w:p>
    <w:p>
      <w:r>
        <w:t>a) Par courrier du 13 juin 2025, la recourante, par l’intermédiaire de son administrateur [...], a requis le report de l’audience précitée, le susnommé étant en voyage pour une durée indéterminée. b) Par courriel du 19 juin 2025, le président a rejeté la requête susmentionnée, précisant qu’il appartenait à la recourante de se faire représenter lors de ladite audience. c) Le 20 juin 2025, la recourante a informé le président qu’elle ne pourrait pas être représentée, [...] étant la seule personne connaissant le dossier car propriétaire de l’appartement litigieux. Elle a requis une nouvelle fois le report de l’audience, au plus tôt le 20 juillet 2025. Le même jour, le président a rejeté une nouvelle fois la requête de report, rappelant notamment que la recourante avait la possibilité de se faire représenter.</w:t>
      </w:r>
    </w:p>
    <w:p>
      <w:r>
        <w:rPr>
          <w:b/>
        </w:rPr>
        <w:t>E. 3.1</w:t>
      </w:r>
    </w:p>
    <w:p>
      <w:r>
        <w:t>La recourante conteste le principe de l’amende. Elle rappelle qu’elle a requis le report de l’audience du 24 juin 2025 et qu’elle a expliqué les raisons pour lesquelles elle ne pouvait pas être représentée à cette occasion.</w:t>
      </w:r>
    </w:p>
    <w:p>
      <w:r>
        <w:t>- 5 -</w:t>
      </w:r>
    </w:p>
    <w:p>
      <w:r>
        <w:rPr>
          <w:b/>
        </w:rPr>
        <w:t>E. 3.2</w:t>
      </w:r>
    </w:p>
    <w:p>
      <w:r>
        <w:t>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En application des principes de la proportionnalité (art. 5 al. 2 Cst.) et de la bonne foi (art. 5 al. 3 Cst. et art. 52 CPC), ainsi que pour respecter le droit d'être entendu de la personne visée par une mesure disciplinaire (art. 29 al. 2 Cst.), cette dernière doit être rendue attentive à la menace qui pèse sur elle avant qu'une telle mesure ne soit prononcée à son encontre (ATF 141 III 265 consid. 5.2 ; TF 4A_502/2014 du 9 juillet 2015 ; TF 4A_664/2014 du 10 juillet 2015). Dans l'ATF 141 III 265, le Tribunal fédéral a admis que les mesures disciplinaires prévues par l'art. 128 CPC puissent être prononcées par l'autorité de conciliation en cas de défaut de comparution à l'audience de conciliation (consid. 4.3). Il ne considère pas d'emblée exclu que l'autorité de conciliation sanctionne une partie qui ne se présente pas à l'audience de conciliation sans motif et qui ne fait ainsi pas seulement défaut, mais en même temps viole son devoir de comparution personnelle découlant de l'art. 204 al. 1 CPC (consid. 5.1). Si cet arrêt se rapporte ainsi au motif du défaut, et non à un motif justifié, il précise cependant également à son considérant 5.1 qu'une sanction disciplinaire fondée sur l'art. 128 CPC suppose que la non-comparution à l'audience de conciliation entraîne une perturbation du déroulement de la procédure selon l'art. 128 al. 1 CPC, respectivement constitue un comportement de mauvaise foi ou un procédé téméraire selon l'art. 128 al. 3 CPC, avant de laisser indécise la question de la réalisation de ces conditions dans la cause examinée. Il s'ensuit qu'il suffit en principe que l'une des conditions précitées de l'art. 128 al. 1 ou 3 CPC soit réalisée pour qu'une sanction disciplinaire entre en ligne de compte, le motif ayant conduit au défaut</w:t>
      </w:r>
    </w:p>
    <w:p>
      <w:r>
        <w:t>- 6 - n'étant pas déterminant au stade du principe de la sanction à prononcer en application de la disposition précitée, mais pouvant le cas échéant être pris en considération au stade de la quotité de la sanction prononcée (CREC 17 juin 2016/219).</w:t>
      </w:r>
    </w:p>
    <w:p>
      <w:r>
        <w:rPr>
          <w:b/>
        </w:rPr>
        <w:t>E. 3.3</w:t>
      </w:r>
    </w:p>
    <w:p>
      <w:r>
        <w:t>En l’espèce, en dépit de ce qui a été retenu par le président, il ne ressort aucunement du dossier que la recourante aurait fait défaut lors d’une précédente audience. Par ailleurs, pour justifier le prononcé de l’amende disciplinaire en question, le président s’est fondé sur une disposition légale non pertinente, appliquant l’art. 149 CPC (qui traite de la procédure en matière de restitution) en lieu et place de l’art. 128 CPC. Cela étant, conformément à la jurisprudence, il y a deux conditions cumulatives à l’amende du défaillant ; il doit être défaillant sans excuse et il doit avoir été averti des conséquences d’un défaut (ATF 141 III 265). Or, la recourante a immédiatement écrit, à réception de la citation à comparaître, que celle-ci ne pourrait pas être représentée à l’audience du 24 juin 2025, et à nouveau pour expliquer pourquoi son administrateur [...] devait comparaitre personnellement à l’audience. De plus, la recourante n’a jamais été informée des conséquences d’un défaut. Aucune des conditions susmentionnées n’étant remplies, l’amende doit être annulée.</w:t>
      </w:r>
    </w:p>
    <w:p>
      <w:r>
        <w:rPr>
          <w:b/>
        </w:rPr>
        <w:t>E. 4</w:t>
      </w:r>
    </w:p>
    <w:p>
      <w:r>
        <w:t>Au vu de ce qui précède, le recours doit être admis et la décision entreprise réformée en ce sens que l’amende disciplinaire est annulée. Le présent arrêt peut être rendu sans frais judiciaires (art. 11 TFJC [tarif des frais judiciaires civils du 28 septembre 2010 ; BLV 270.11.5]). N'étant pas concernés par l’amende, Q.________ et S.________ ne sont pas intimés au recours et n'ont donc pas été interpellés sur le sort de celui-ci, ce qui exclut l'allocation de dépens.</w:t>
      </w:r>
    </w:p>
    <w:p>
      <w:r>
        <w:t>- 7 - Par ces motifs, la Chambre des recours civile du Tribunal cantonal, prononce : I. Le recours est admis. II. La décision est réformée en ce sens que l’amende disciplinaire est annulée. III. L’arrêt, rendu sans frais, est exécutoire. La présidente : Le greffier : Du L'arrêt qui précède, dont la rédaction a été approuvée à huis clos, est notifié à : - E.________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