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HX25.023196 vom 15. Juli 2025</w:t>
      </w:r>
    </w:p>
    <w:p>
      <w:r>
        <w:t>VD Tribunal cantonal, 2025-07-15, FR</w:t>
      </w:r>
    </w:p>
    <w:p>
      <w:r>
        <w:rPr>
          <w:b/>
        </w:rPr>
        <w:t xml:space="preserve">Quelle: </w:t>
      </w:r>
      <w:r>
        <w:t>https://mcp.opencaselaw.ch/entscheid/vd_gerichte_HX25.023196</w:t>
      </w:r>
    </w:p>
    <w:p>
      <w:r>
        <w:t>FR: VD_GERICHTE HX25.023196 du 15 juillet 2025</w:t>
      </w:r>
    </w:p>
    <w:p>
      <w:r>
        <w:t>IT: VD_GERICHTE HX25.023196 del 15 luglio 2025</w:t>
      </w:r>
    </w:p>
    <w:p>
      <w:pPr>
        <w:pStyle w:val="Heading2"/>
      </w:pPr>
      <w:r>
        <w:t>Erwägungen</w:t>
      </w:r>
    </w:p>
    <w:p>
      <w:r>
        <w:rPr>
          <w:b/>
        </w:rPr>
        <w:t>E. 4</w:t>
      </w:r>
    </w:p>
    <w:p>
      <w:r>
        <w:t>La recourante expose ne pas avoir reçu la sommation du 11 décembre 2024 car sa gérante était absente.</w:t>
      </w:r>
    </w:p>
    <w:p>
      <w:r>
        <w:rPr>
          <w:b/>
        </w:rPr>
        <w:t>E. 4.1</w:t>
      </w:r>
    </w:p>
    <w:p>
      <w:r>
        <w:t>Aux termes de l'art. 934 CO, l'office du registre du commerce radie les entités juridiques qui n'exercent plus d'activités et n'ont plus d'actifs réalisables (al. 1). Pour ce faire, l'office somme l'entité juridique de faire valoir un intérêt au maintien de l'inscription (al. 2 1ère phrase). Les règles relatives à la sommation de l'office du registre du commerce sont prescrites par l'art. 152a ORC. La sommation est notifiée par lettre recommandée ou d'une autre manière contre accusé de réception au domicile inscrit de l'entité juridique (al. 1 let. a) ou selon les dispositions sur la communication par voie électronique (al. 1 let. b). L'acte est réputé notifié lorsqu'il est remis au domicile inscrit de l'entité juridique. Il est réputé notifié en cas d'envoi recommandé, lorsque celui-ci n'a pas été retiré, à l'expiration d'un délai de sept jours à compter du premier échec de la remise, si le destinataire devait s'attendre à recevoir la notification (al. 2). Ces règles correspondent à celles des art. 138 à 141 CPC, de sorte que l'art. 152a ORC peut être interprété à la lumière de la jurisprudence et de la doctrine relatives à la procédure civile (Vianin, Commentaire romand, Code des obligations Il, 3ème éd., Bâle 2024, 9 ad art. 934 CO). Selon la jurisprudence relative à l'art. 138 al. 3 CPC,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w:t>
      </w:r>
    </w:p>
    <w:p>
      <w:r>
        <w:t>- 6 - son courrier, informer les autorités de son absence ou leur indiquer une adresse de notification (ATF 146 IV 30 consid. 1.1.2 et réf. cit. ; TF 5A_20/2023 du 20 avril 2023 consid. 5.2), une demande de garde du courrier ne constituant pas une mesure suffisante (ATF 141 Il 429 consid. 3.1 ; TF 4A_2/2024 du 17 janvier 2024 consid. 3.1 ; TF 5A_790/2019 du 20 janvier 2020 consid. 3.2.1), ni une demande de prolongation du délai de garde (ATF 127 I 31 consid. 2b, JdT 2001 I 727 ; TF 4A_2/2024 précité consid. 3.1 ; TF 4A_577/2019 du 7 janvier 2020).</w:t>
      </w:r>
    </w:p>
    <w:p>
      <w:r>
        <w:rPr>
          <w:b/>
        </w:rPr>
        <w:t>E. 4.2</w:t>
      </w:r>
    </w:p>
    <w:p>
      <w:r>
        <w:t>En l'espèce, il ressort du dossier du registre du commerce que celui-ci a été informé le 5 décembre 2024 par l'office d'impôt des personnes morales que la recourante n'exerçait plus d'activités et n'avait plus d'actifs réalisables. Quelques jours plus tard, soit le 11 décembre 2024, l'office intimé a sommé par courrier recommandé la recourante de requérir sa radiation ou de faire valoir un intérêt au maintien de l'inscription, par écrit et dans les 30 jours dès réception. Ce courrier n'a pas été retiré. La recourante se prévaut du fait que sa gérante était absente, ce qu'elle n'établit pas. Cela étant, la sommation litigieuse constituait le premier acte de la procédure entreprise par l'autorité intimée, on ne saurait dès lors opposer à la recourante qu'elle devait s'attendre à une notification et prendre des dispositions afin de s'assurer que son courrier serait relevé. Certes, elle ne fait pas valoir clairement que son droit d'être entendu aurait été violé par ce biais, mais le fait de se prévaloir de ne pas avoir reçu la sommation doit être considéré suffisant en l'état, pour une partie non assistée. Dans ces conditions, il convient de constater que la décision litigieuse a été rendue à la suite d'une procédure viciée, l'acte introductif d'instance n'ayant pas été notifié valablement. Elle doit être annulée dans la mesure des conclusions prises, soit le sort des frais et la cause renvoyée pour nouvelle décision sur ce point après interpellation de la recourante.</w:t>
      </w:r>
    </w:p>
    <w:p>
      <w:r>
        <w:t>- 7 -</w:t>
      </w:r>
    </w:p>
    <w:p>
      <w:r>
        <w:rPr>
          <w:b/>
        </w:rPr>
        <w:t>E. 5</w:t>
      </w:r>
    </w:p>
    <w:p>
      <w:r>
        <w:t>En définitive, le recours doit être admis, la décision annulée et la cause renvoyée à l’autorité précédente pour qu’elle procède dans le sens des considérants. Les frais judiciaires de deuxième instance – arrêtés à 100 fr. (art. 4 al. 1 TFJDA [tarif des frais judiciaires et des dépens en matière administrative du 28 avril 2015 ; BLV 173.36.5.1]) – sont laissés à la charge de l'Etat. Il n'a pas lieu à l'allocation de dépens, la recourante ayant procédé sans l'aide d'un conseil. Par ces motifs, la Chambre des recours civile du Tribunal cantonal, prononce : I. Le recours est admis. II. La décision est annulée et la cause renvoyée au Registre du commerce pour procéder dans le sens des considérants. III. Les frais judiciaires de deuxième instance, par 100 fr. (cent francs), sont laissés à la charge de l'Etat. IV. Il n'est pas alloué de dépens. V. L’arrêt est exécutoire. La présidente : La greffière :</w:t>
      </w:r>
    </w:p>
    <w:p>
      <w:r>
        <w:t>- 8 - Du L'arrêt qui précède, dont la rédaction a été approuvée à huis clos, est notifié à : - W.________ 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du Registre du commerce du Canton de Vaud ; - Office fédéral du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