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HX24.009428 vom 24. Juni 2024</w:t>
      </w:r>
    </w:p>
    <w:p>
      <w:r>
        <w:t>VD Tribunal cantonal, 2024-06-24, FR</w:t>
      </w:r>
    </w:p>
    <w:p>
      <w:r>
        <w:rPr>
          <w:b/>
        </w:rPr>
        <w:t xml:space="preserve">Quelle: </w:t>
      </w:r>
      <w:r>
        <w:t>https://mcp.opencaselaw.ch/entscheid/vd_gerichte_HX24.009428</w:t>
      </w:r>
    </w:p>
    <w:p>
      <w:r>
        <w:t>FR: VD_GERICHTE HX24.009428 du 24 juin 2024</w:t>
      </w:r>
    </w:p>
    <w:p>
      <w:r>
        <w:t>IT: VD_GERICHTE HX24.009428 del 24 giugno 2024</w:t>
      </w:r>
    </w:p>
    <w:p>
      <w:pPr>
        <w:pStyle w:val="Heading2"/>
      </w:pPr>
      <w:r>
        <w:t>Erwägungen</w:t>
      </w:r>
    </w:p>
    <w:p>
      <w:r>
        <w:rPr>
          <w:b/>
        </w:rPr>
        <w:t>E. 3</w:t>
      </w:r>
    </w:p>
    <w:p>
      <w:r>
        <w:t>let. a et b CPC). Le délai de vingt jours qui expire un samedi, un dimanche ou un jour férié est reporté au premier jour ouvrable suivant (cf. art. 142 al. 3 CPC) (Lachat / Lachat, Procédure civile en matière de baux et loyers, Lausanne 2019, pp. 173 et 174).</w:t>
      </w:r>
    </w:p>
    <w:p>
      <w:r>
        <w:rPr>
          <w:b/>
        </w:rPr>
        <w:t>E. 3.1</w:t>
      </w:r>
    </w:p>
    <w:p>
      <w:r>
        <w:t>L’appelante fait valoir qu’elle aurait reçu la proposition de jugement le 29 janvier 2024 et qu’elle aurait ainsi déposé son opposition dans le délai de vingt jours. Elle reproche à la commission de conciliation de ne pas avoir tenu compte du délai de garde postal de sept jours.</w:t>
      </w:r>
    </w:p>
    <w:p>
      <w:r>
        <w:rPr>
          <w:b/>
        </w:rPr>
        <w:t>E. 3.2</w:t>
      </w:r>
    </w:p>
    <w:p>
      <w:r>
        <w:t>- 8 -</w:t>
      </w:r>
    </w:p>
    <w:p>
      <w:r>
        <w:rPr>
          <w:b/>
        </w:rPr>
        <w:t>E. 3.2.1</w:t>
      </w:r>
    </w:p>
    <w:p>
      <w:r>
        <w:t>Selon l’art. 211 al. 1, 1e phrase, CPC, la proposition de jugement est acceptée et déploie les effets d’une décision entrée en force lorsqu’aucune des parties ne s’y oppose dans un délai de vingt jours à compter du jour où elle a été communiquée par écrit aux parties. Le délai de vingt jours court à compter du lendemain (cf. art. 142 al. 1 CPC) de la réception du pli contenant la proposition de jugement, si celle-ci est envoyée par la poste. En cas de non-retrait ou de refus du pli recommandé, la théorie relative de la réception s’applique (cf. art. 138 al.</w:t>
      </w:r>
    </w:p>
    <w:p>
      <w:r>
        <w:rPr>
          <w:b/>
        </w:rPr>
        <w:t>E. 3.2.2</w:t>
      </w:r>
    </w:p>
    <w:p>
      <w:r>
        <w:t>Selon la théorie de la réception dite relative applicable aux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(art. 138 al. 3 CPC ; ATF 143 III 15 consid. 4.1, SJ 2017 I 211 ; ATF 140 III 244 consid. 5.1 ; ATF 137 III 208 consid. 3.1.1, SJ 2011 I 293 ; ATF 119 II 147 consid. 2 ; JdT 1994 I 205, SJ 1993 672).</w:t>
      </w:r>
    </w:p>
    <w:p>
      <w:r>
        <w:rPr>
          <w:b/>
        </w:rPr>
        <w:t>E. 3.3</w:t>
      </w:r>
    </w:p>
    <w:p>
      <w:r>
        <w:t>En l’espèce, la proposition de jugement a été adressée par pli recommandé le 22 janvier 2024 à l’appelante qui a reçu l’avis de retrait dès le lendemain, le 23 janvier 2024. Le pli contenant la décision querellée a été retiré au guichet postal le 29 janvier 2024, soit dans le délai de garde postal de sept jours, ce qui implique que le délai de vingt jours pour former opposition à la proposition de jugement a commencé à courir dès le lendemain, le 30 janvier 2024, pour arriver à échéance le dimanche 18 février 2024, reporté au premier jour ouvrable qui suit, soit le lundi 19 février 2024.</w:t>
      </w:r>
    </w:p>
    <w:p>
      <w:r>
        <w:t>- 9 - L’opposition ayant été envoyée par courrier recommandé le 13 février 2024, c’est donc manifestement à tort que la commission de conciliation a déclaré que l’opposition de l’appelante était tardive. On relèvera qu’il semble que la commission de conciliation a appliqué à tort la théorie de la réception dite absolue, selon laquelle la fiction de notification le septième jour du délai de garde prévue pour les délais de procédure (art. 138 al. 3 let. a CPC) ne vaut pas pour les délais de droit matériel (cf. ATF 143 III 15 précité consid. 4.1). Or, le délai pour former opposition à une proposition de jugement est un délai de procédure du CPC qui est donc soumis à la théorie de la réception dite relative, selon laquelle le pli est reçu au moment où il est effectivement retiré à la poste ou, s’il n’est pas retiré, le septième et dernier jour du délai de garde.</w:t>
      </w:r>
    </w:p>
    <w:p>
      <w:r>
        <w:rPr>
          <w:b/>
        </w:rPr>
        <w:t>E. 4.1</w:t>
      </w:r>
    </w:p>
    <w:p>
      <w:r>
        <w:t>En conséquence, l’appel doit être admis, la décision entreprise annulée et la cause renvoyée à la commission de conciliation pour qu’elle tienne compte de l’opposition de l’appelante et lui délivre une autorisation de procéder (art. 211 al. 2 let. a CPC).</w:t>
      </w:r>
    </w:p>
    <w:p>
      <w:r>
        <w:rPr>
          <w:b/>
        </w:rPr>
        <w:t>E. 4.2</w:t>
      </w:r>
    </w:p>
    <w:p>
      <w:r>
        <w:t>S’agissant du sort des frais et dépens de première instance, la cause est également renvoyée sur cette question à la commission de conciliation au vu des considérants qui précèdent.</w:t>
      </w:r>
    </w:p>
    <w:p>
      <w:r>
        <w:rPr>
          <w:b/>
        </w:rPr>
        <w:t>E. 4.3</w:t>
      </w:r>
    </w:p>
    <w:p>
      <w:r>
        <w:t>Le présent arrêt peut être rendu sans frais judiciaires de deuxième instance (art. 11 TFJC [tarif des frais judiciaires civils du 28 septembre 2010 ; BLV 270.11.5]).</w:t>
      </w:r>
    </w:p>
    <w:p>
      <w:r>
        <w:rPr>
          <w:b/>
        </w:rPr>
        <w:t>E. 4.4</w:t>
      </w:r>
    </w:p>
    <w:p>
      <w:r>
        <w:t>Dans sa réponse du 4 avril 2024, l’intimée, représentée par sa gérance, a « confirm[é] être du même avis que la [commission de conciliation], soit que l’opposition [de l’appelante] [était] tardive ». Elle a donc implicitement conclu au rejet de l’appel. Dans cette mesure, elle succombe (art. 106 al. 1 CPC).</w:t>
      </w:r>
    </w:p>
    <w:p>
      <w:r>
        <w:t>- 10 - Compte tenu de l’issue de l’appel, l’appelante a droit à de pleins dépens, qui peuvent être fixés à 1'400 fr. (art. 3 al. 2 et 7 TDC [tarif des dépens en matière civile du 23 novembre 2010 ; BLV 270.11.6]) et doivent être alloués directement à Me Jonathan Kuntzmann.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rPr>
          <w:b/>
        </w:rPr>
        <w:t>E. 4.5.1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 7 décembre 2010 ; BLV 211.02.3]).</w:t>
      </w:r>
    </w:p>
    <w:p>
      <w:r>
        <w:rPr>
          <w:b/>
        </w:rPr>
        <w:t>E. 4.5.2</w:t>
      </w:r>
    </w:p>
    <w:p>
      <w:r>
        <w:t>En l’occurrence, Me Jonathan Kuntzmann indique avoir consacré 4 heures et 10 minutes au dossier pour la période du 26 février au 9 avril 2024. Les heures annoncées peuvent être admises. Il s’ensuit que l’indemnité de Me Kuntzmann doit être arrêtée à 826 fr. 95, arrondis à 827 fr., soit 750 fr. d’honoraires (180 fr. x 4 heures et 10 minutes), auxquels s’ajoutent les débours par 15 fr. (2 % de 750 fr., art. 3bis al. 1 RAJ) et la TVA à 8.1 % sur le tout (art. 2 al. 3 RAJ), par 61 fr. 95. Cette indemnité sera versée à Me Kuntzmann si les dépens de deuxième instance ne peuvent être obtenus de l’intimée (art. 122 al. 2 CPC).</w:t>
      </w:r>
    </w:p>
    <w:p>
      <w:r>
        <w:rPr>
          <w:b/>
        </w:rPr>
        <w:t>E. 4.6</w:t>
      </w:r>
    </w:p>
    <w:p>
      <w:r>
        <w:t>La bénéficiaire de l’assistance judiciaire remboursera l’indemnité à son conseil d’office, provisoirement supportée par l’Etat, dès</w:t>
      </w:r>
    </w:p>
    <w:p>
      <w:r>
        <w:t>- 11 -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