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HX23.048603 vom 2. Februar 2024</w:t>
      </w:r>
    </w:p>
    <w:p>
      <w:r>
        <w:t>VD Tribunal cantonal, 2024-02-02, FR</w:t>
      </w:r>
    </w:p>
    <w:p>
      <w:r>
        <w:rPr>
          <w:b/>
        </w:rPr>
        <w:t xml:space="preserve">Quelle: </w:t>
      </w:r>
      <w:r>
        <w:t>https://mcp.opencaselaw.ch/entscheid/vd_gerichte_HX23.048603</w:t>
      </w:r>
    </w:p>
    <w:p>
      <w:r>
        <w:t>FR: VD_GERICHTE HX23.048603 du 2 février 2024</w:t>
      </w:r>
    </w:p>
    <w:p>
      <w:r>
        <w:t>IT: VD_GERICHTE HX23.048603 del 2 febbraio 2024</w:t>
      </w:r>
    </w:p>
    <w:p>
      <w:pPr>
        <w:pStyle w:val="Heading2"/>
      </w:pPr>
      <w:r>
        <w:t>Erwägungen</w:t>
      </w:r>
    </w:p>
    <w:p>
      <w:r>
        <w:rPr>
          <w:b/>
        </w:rPr>
        <w:t>E. 1</w:t>
      </w:r>
    </w:p>
    <w:p>
      <w:r>
        <w:t>Le 15 décembre 2020, E.________ et F.________ ont conclu un contrat de bail de durée indéterminée, dont le loyer mensuel brut était fixé à 2'650 francs.</w:t>
      </w:r>
    </w:p>
    <w:p>
      <w:r>
        <w:rPr>
          <w:b/>
        </w:rPr>
        <w:t>E. 1.1.1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la Cour d'appel civile du Tribunal cantonal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Le rejet d’une requête de restitution fondée sur l’art. 148 CPC est une décision finale lorsque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w:t>
      </w:r>
    </w:p>
    <w:p>
      <w:r>
        <w:t>- 5 - d’action, de sorte qu’à cette dernière condition, un refus de restitution constituant une décision finale est exceptionnellement susceptible d’appel ou de recours, selon la valeur litigieuse (ATF 139 III 478 consid. 6.3 ; TF 5A_262/2022 du 3 août 2022 consid. 1 ; TF 4A_350/2017 du 12 juillet 2017 consid. 3.2.1).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de faire usage de l’art. 92 al. 2 CPC pour le calcul de la valeur litigieuse d’une action en contestation d’une hausse ou d’une action en baisse de loyer (ATF 137 III 362 consid. 1 ; ATF 121 III 397 consid. 1 ; CACI 22 mai 2023/ 214 consid. 1.1 ; CREC 23 décembre 2021/351 consid. 3.2).</w:t>
      </w:r>
    </w:p>
    <w:p>
      <w:r>
        <w:rPr>
          <w:b/>
        </w:rPr>
        <w:t>E. 1.1.3</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TF 5A_221/2018 du 4 juin 2018 consid. 3.3.1 et les réf. citées). La jurisprudence admet toutefois très restrictivement la conversion lorsque la partie recourante est représentée par un mandataire professionnel (TF 5A_221/2018 précité consid. 3.3.1 et 3.3.2 ; CACI 30 juin 2023/261 ; CACI 30 août 2022/439 ; CACI 1er mars 2022/117). Par ailleurs, en vertu du droit à la protection de la bonne foi, consacré à l’art. 5 al. 3 Cst., les parties ne doivent subir aucun préjudice en raison d’une indication erronée des voies de droit (ATF 138 I 49 consid.</w:t>
      </w:r>
    </w:p>
    <w:p>
      <w:r>
        <w:t>- 6 - 8.3.2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La protection contre la bonne foi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 TF 4A_573/2021 du 17 mai 2022 consid. 2 et les réf. citées, RSPC 5/2022 2646 p. 391), à moins que l'on puisse établir que l'avocat était au courant de la jurisprudence topique (qu'il aurait par exemple citée) (TF 5A_706/2018 du 11 janvier 2019 consid. 3.3 et les réf. citées).</w:t>
      </w:r>
    </w:p>
    <w:p>
      <w:r>
        <w:rPr>
          <w:b/>
        </w:rPr>
        <w:t>E. 1.2.1</w:t>
      </w:r>
    </w:p>
    <w:p>
      <w:r>
        <w:t>En l’occurrence, l’admission de la requête de restitution de l’appelant permettrait de faire rouvrir la procédure de conciliation sur une action en contestation d’une augmentation de loyer et des autres modifications unilatérales du contrat, au sens de l’art. 270b CO (Code des obligations ; RS 220). Cette action doit être intentée dans les trente jours qui suivent l’avis de majoration (art. 270b al. 1 CO), sous peine de péremption (ATF 146 III 346 consid. 2.3.2.2). Aussi, le refus de la restitution empêche définitivement l’appelant de contester la hausse de loyer et des frais accessoires. La décision attaquée est dès lors susceptible de faire l’objet d’un appel ou d’un recours, selon la valeur litigieuse.</w:t>
      </w:r>
    </w:p>
    <w:p>
      <w:r>
        <w:t>- 7 - La majoration de loyer disputée est de 140 fr. par mois. Dans la mesure où le bail liant les parties est de durée indéterminée, la valeur litigieuse s’élève ainsi à 33'600 fr. (140 fr. x 12 mois x 20 ans ; cf. art. 92 al. 2 CPC). Partant, seule la voie de l’appel est ouverte.</w:t>
      </w:r>
    </w:p>
    <w:p>
      <w:r>
        <w:rPr>
          <w:b/>
        </w:rPr>
        <w:t>E. 1.2.2</w:t>
      </w:r>
    </w:p>
    <w:p>
      <w:r>
        <w:t>L’appelant a toutefois déposé un recours auprès de la Chambre des recours civile, de sorte qu’une décision d’irrecevabilité devrait en principe être rendue. Celui-ci n’est toutefois pas représenté, ne parait pas jouir d'une expérience particulière en matière judiciaire et a suivi l’indication erronée des voies de droit mentionnée au pied de la décision entreprise. Par ailleurs, on ne saurait considérer que l’appelant aurait dû se rendre compte de l’inexactitude de cette indication en lisant la législation applicable ; en effet, le fait qu’une voie de droit soit ouverte à l’encontre d’une décision en restitution n’est déjà pas, en soi, manifeste à la lecture de la loi, dans la mesure où l’art. 149 in fine CPC prévoit que le tribunal statue définitivement sur la restitution. A défaut de négligence procédurale grossière de la part de l’appelant et en application du principe de la bonne foi en procédure, il y a dès lors lieu de convertir le recours déposé le 8 novembre 2023 en appel.</w:t>
      </w:r>
    </w:p>
    <w:p>
      <w:r>
        <w:rPr>
          <w:b/>
        </w:rPr>
        <w:t>E. 1.2.3</w:t>
      </w:r>
    </w:p>
    <w:p>
      <w:r>
        <w:t>Ainsi, déposé en temps utile par une partie qui a un intérêt digne de protection (art. 59 al. 2 let. a CPC) contre une décision finale de première instance attaquable rendue dans une cause patrimoniale dont la valeur litigieuse est supérieure à 10’000 fr., l’appel, écrit et motivé,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w:t>
      </w:r>
    </w:p>
    <w:p>
      <w:r>
        <w:t>- 8 -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Il est relevé en préambule que la motivation de la décision litigieuse est particulièrement succincte, celle-ci se contentant d’indiquer que les motifs invoqués par l’appelant ne peuvent pas être retenus. La question de la violation du droit d’être entendu de celui-ci, pour défaut de motivation, au sens de l’art. 29 al. 2 Cst., pourrait dès lors être soulevée. Cela étant, elle pourra en l’espèce demeurer ouverte dans la mesure où, à supposer que le droit d’être entendu de l’appelant aurait été violé, il y aurait lieu de considérer que ce manquement serait guéri. En effet, celui-ci a pu s’exprimer devant une instance de recours disposant d’un libre pouvoir d’examen en fait et en droit (cf. ATF 142 II 218 consid. 2.3). Plus important – tel que cela sera discuté ci-dessous (cf. consid. 4.3 infra) –, l’appel sera finalement admis, de même que la requête de restitution, de sorte qu’une nouvelle audience de conciliation devra être appointée. Aussi, le renvoi ne constituerait en l’espèce qu’une vaine formalité de nature à retarder inutilement la procédure (cf. ATF 142 II 218 précité ; TF 5A_644/2022 du 31 octobre 2022 consid. 3.1).</w:t>
      </w:r>
    </w:p>
    <w:p>
      <w:r>
        <w:t>- 9 - 4.</w:t>
      </w:r>
    </w:p>
    <w:p>
      <w:r>
        <w:rPr>
          <w:b/>
        </w:rPr>
        <w:t>E. 2</w:t>
      </w:r>
    </w:p>
    <w:p>
      <w:r>
        <w:t>Par courrier du 8 juin 2023, l’intimé a notifié à l’appelant une hausse de loyer pour un montant total de 140 fr. par mois, laquelle devait intervenir dès le 1er octobre 2023.</w:t>
      </w:r>
    </w:p>
    <w:p>
      <w:r>
        <w:rPr>
          <w:b/>
        </w:rPr>
        <w:t>E. 3</w:t>
      </w:r>
    </w:p>
    <w:p>
      <w:r>
        <w:t>Le 10 juillet 2023, l’appelant a contesté cette majoration auprès de la commission de conciliation.</w:t>
      </w:r>
    </w:p>
    <w:p>
      <w:r>
        <w:rPr>
          <w:b/>
        </w:rPr>
        <w:t>E. 4</w:t>
      </w:r>
    </w:p>
    <w:p>
      <w:r>
        <w:t>Par courrier du 11 juillet 2023, la commission de conciliation a personnellement cité l’appelant à comparaître à une audience de conciliation fixée au 3 octobre 2023.</w:t>
      </w:r>
    </w:p>
    <w:p>
      <w:r>
        <w:rPr>
          <w:b/>
        </w:rPr>
        <w:t>E. 4.1</w:t>
      </w:r>
    </w:p>
    <w:p>
      <w:r>
        <w:t>Dans un moyen principal, l’appelant fait valoir que ce serait en raison d’une faute légère qu’il aurait fait défaut à l’audience de conciliation du 3 avril 2023, de sorte qu’il conviendrait de lui accorder la restitution.</w:t>
      </w:r>
    </w:p>
    <w:p>
      <w:r>
        <w:rPr>
          <w:b/>
        </w:rPr>
        <w:t>E. 4.2.1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4A_289/2021 du 16 juillet 2021 consid. 4 ; TF 4A_617/2020 du 21 janvier 2021 consid. 3.1 ; TF 5A_280/2020 du 8 juillet 2020 consid. 3.1.2 ; TF 4A_52/2019 du 20 mars 2019 consid. 3.1). Une simple hypothèse est impropre à rendre vraisemblables les circonstances de l'empêchement non fautif allégué (TF 5A_927/2015 du 22 décembre 2015 consid. 5.2, SJ 2016 I 285).</w:t>
      </w:r>
    </w:p>
    <w:p>
      <w:r>
        <w:rPr>
          <w:b/>
        </w:rPr>
        <w:t>E. 4.2.2</w:t>
      </w:r>
    </w:p>
    <w:p>
      <w:r>
        <w:t>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précité consid. 3.1 ; TF 5A_280/2020 précité consid. 3.1.1 ; TF 5A_414/2016 du 5 juillet 2016 consid. 4.1).</w:t>
      </w:r>
    </w:p>
    <w:p>
      <w:r>
        <w:t>- 10 -</w:t>
      </w:r>
    </w:p>
    <w:p>
      <w:r>
        <w:rPr>
          <w:b/>
        </w:rPr>
        <w:t>E. 4.2.3</w:t>
      </w:r>
    </w:p>
    <w:p>
      <w:r>
        <w:t>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23 décembre 2022/628 ; CACI 4 septembre 2018/497 ; CACI 5 juillet 2017/285).</w:t>
      </w:r>
    </w:p>
    <w:p>
      <w:r>
        <w:rPr>
          <w:b/>
        </w:rPr>
        <w:t>E. 4.2.4</w:t>
      </w:r>
    </w:p>
    <w:p>
      <w:r>
        <w:t>Du point de vue procédural, le certificat médical constitue une allégation de partie (TF 8C_619/2014 du 13 avril 2014 consid. 3.2.1), à l'instar d'une expertise privée (ATF 141 III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(ATF 134 V 231 consid. 5.1 ; ATF 125 V 351 consid. 3a ; TF 5A_584/2022 du 18 janvier 2023 consid. 3.1.2 ; TF 5A_799/2021 du 12 avril 2022 consid. 3.2.2 ; TF 5A_266/2017 du 29 novembre 2017 consid. 6.3). En ce qui concerne les rapports établis par un médecin traitant, le juge doit prendre en considération le fait que ce médecin peut être enclin, en cas de doute, à prendre parti pour son patient en raison de la relation de confiance nouée (ATF 125 V 351 consid. 3 ; TF 5A_799/2021 précité consid. 3.2.2 ; TF 4A_318/2016 du 3 août 2016 consid. 6.2 ; TF 4A_481/2014 du 20 février 2015 consid. 2.4.1).</w:t>
      </w:r>
    </w:p>
    <w:p>
      <w:r>
        <w:rPr>
          <w:b/>
        </w:rPr>
        <w:t>E. 4.3</w:t>
      </w:r>
    </w:p>
    <w:p>
      <w:r>
        <w:t>En l’espèce, il n’est pas contestable que l’appelant a déposé sa requête de restitution dans les délais légaux respectifs de dix jours (délai relatif) et de six mois (délai absolu) prévus par l’art. 148 al. 2 et 3 CPC. L’appelant a exposé, aussi bien en première instance qu’en deuxième instance, souffrir de troubles de l’attention et de la mémoire, ce qui aurait contribué à son erreur dans la date de l’audience. A l’appui de</w:t>
      </w:r>
    </w:p>
    <w:p>
      <w:r>
        <w:t>- 11 - ses allégations, il a produit un certificat médical établi le 5 octobre 2023 par le Dr M.________, spécialiste en psychiatrie et en psychothérapie. Ce dernier a expliqué traiter l’appelant depuis le 24 juin 2008 ; celui-ci présentait les troubles susmentionnés et percevait une rente d’invalidité. Ce médecin a en particulier précisé que lesdits troubles pouvaient expliquer la confusion dans la date de l’audience et l’absence de son patient à l’audience du 3 octobre 2023. Ces explications paraissent vraisemblables, compte tenu notamment de la cohérence entre les indications de l’appelant et de son psychiatre traitant. De même, il est établi que l’appelant s’est rendu en personne au greffe de la commission de conciliation le 4 octobre 2023 pour assister à l’audience litigieuse, ce qui tend à démontrer qu’il souhaitait y participer et était bien dans l’erreur s’agissant de sa date. On ne saurait dès lors retenir que la faute de l’intimé serait particulièrement répréhensible, compte tenu des circonstances du cas d’espèce et de son état de santé. De même, l’appointement et la tenue d’une nouvelle audience, à ce stade du litige, n’entraînent pas de complications particulières pour la commission de conciliation. En revanche, en cas de rejet de sa requête de restitution, les conséquences pour l’appelant sont importantes, celui-ci perdant toute possibilité de contester la hausse de loyer notifiée par son bailleur. Partant, le principe de la proportionnalité abonde également dans le sens de l’admission de la requête de restitution. Par conséquent, il convient de retenir que c’est à tort que la commission de conciliation a rejeté la requête de restitution de l’appelant. 5.</w:t>
      </w:r>
    </w:p>
    <w:p>
      <w:r>
        <w:rPr>
          <w:b/>
        </w:rPr>
        <w:t>E. 5</w:t>
      </w:r>
    </w:p>
    <w:p>
      <w:r>
        <w:t>Le 3 octobre 2023, l’appelant ne s’est pas présenté à l’audience précitée. Dans le procès-verbal daté du même jour, la commission de conciliation a exposé qu’au vu de l’absence de l’appelant, partie demanderesse, la requête était considérée comme étant retirée. Elle a ainsi constaté que la procédure était devenue sans objet et a rayé la cause du rôle.</w:t>
      </w:r>
    </w:p>
    <w:p>
      <w:r>
        <w:rPr>
          <w:b/>
        </w:rPr>
        <w:t>E. 5.1</w:t>
      </w:r>
    </w:p>
    <w:p>
      <w:r>
        <w:t>Eu égard à ce qui précède, l’appel doit être admis. Il est statué à nouveau en ce sens que la requête de restitution du 7 octobre 2023 est admise.</w:t>
      </w:r>
    </w:p>
    <w:p>
      <w:r>
        <w:t>- 12 -</w:t>
      </w:r>
    </w:p>
    <w:p>
      <w:r>
        <w:rPr>
          <w:b/>
        </w:rPr>
        <w:t>E. 5.2</w:t>
      </w:r>
    </w:p>
    <w:p>
      <w:r>
        <w:t>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(Tappy, Commentaire romand, Code de procédure civile, 2e éd., Bâle 2019, n. 2a ad art. 113 CPC). Partant, les frais judiciaires de deuxième instance, arrêtés à 1’336 fr. (art. 62 al. 1 et 2 TFJC [tarif des frais judiciaires civils du 28 septembre 2010 ; BLV 270.11.5]) compte tenu d’une valeur litigieuse de 33'600 fr., sont mis à la charge de l’intimé, dans la mesure où il succombe (art. 106 al. 1 CPC). Ces frais étant partiellement compensés avec l’avance de frais de 100 fr. fournie par l’appelant (art. 111 al. 1 CPC), l’intimé sera tenu de la lui rembourser à concurrence de ce montant.</w:t>
      </w:r>
    </w:p>
    <w:p>
      <w:r>
        <w:rPr>
          <w:b/>
        </w:rPr>
        <w:t>E. 5.3</w:t>
      </w:r>
    </w:p>
    <w:p>
      <w:r>
        <w:t>Il n'y a pas lieu à l'allocation de dépens de deuxième instance, l’appelant n’étant pas représenté par un mandataire professionnel et n’ayant, quoi qu’il en soit, pas pris de conclusion à ce titre.</w:t>
      </w:r>
    </w:p>
    <w:p>
      <w:r>
        <w:rPr>
          <w:b/>
        </w:rPr>
        <w:t>E. 6</w:t>
      </w:r>
    </w:p>
    <w:p>
      <w:r>
        <w:t>Le 4 octobre 2023, l’appelant s’est rendu au greffe de la commission de conciliation afin d’assister à l’audience de conciliation. A cette occasion, il a expliqué qu’il avait perdu sa convocation et avait noté dans son agenda que ladite audience aurait lieu en date du 4 octobre 2023, tout en précisant qu’il avait des problèmes de mémoire.</w:t>
      </w:r>
    </w:p>
    <w:p>
      <w:r>
        <w:t>- 4 -</w:t>
      </w:r>
    </w:p>
    <w:p>
      <w:r>
        <w:rPr>
          <w:b/>
        </w:rPr>
        <w:t>E. 7</w:t>
      </w:r>
    </w:p>
    <w:p>
      <w:r>
        <w:t>Le 7 octobre 2023, l’appelant a déposé une requête de restitution auprès de la commission de conciliation, exposant souffrir de troubles de la mémoire à la suite d’un accident survenu en 2003, lesquels avaient directement « affecte[r] [s]a capacité à se rendre » à l’audience susmentionnée.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