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HX18.040999 vom 17. Oktober 2018</w:t>
      </w:r>
    </w:p>
    <w:p>
      <w:r>
        <w:t>VD Tribunal cantonal, 2018-10-17, FR</w:t>
      </w:r>
    </w:p>
    <w:p>
      <w:r>
        <w:rPr>
          <w:b/>
        </w:rPr>
        <w:t xml:space="preserve">Quelle: </w:t>
      </w:r>
      <w:r>
        <w:t>https://mcp.opencaselaw.ch/entscheid/vd_gerichte_HX18.040999</w:t>
      </w:r>
    </w:p>
    <w:p>
      <w:r>
        <w:t>FR: VD_GERICHTE HX18.040999 du 17 octobre 2018</w:t>
      </w:r>
    </w:p>
    <w:p>
      <w:r>
        <w:t>IT: VD_GERICHTE HX18.040999 del 17 ottobre 2018</w:t>
      </w:r>
    </w:p>
    <w:p>
      <w:pPr>
        <w:pStyle w:val="Heading2"/>
      </w:pPr>
      <w:r>
        <w:t>Erwägungen</w:t>
      </w:r>
    </w:p>
    <w:p>
      <w:r>
        <w:rPr>
          <w:b/>
        </w:rPr>
        <w:t>E. 7</w:t>
      </w:r>
    </w:p>
    <w:p>
      <w:r>
        <w:t>En définitive, le recours doit être rejeté. Les frais judiciaires de deuxième instance, arrêtés à 1'000 fr. (art. 14b OERC [Ordonnance sur le registre du commerce du 17 octobre 2007 ; RS 221.411]), sont mis à la charge de la recourante, qui succombe. Par ces motifs, la Chambre des recours civile du Tribunal cantonal prononce : I. Le recours est rejeté. II. La décision est confirmée. III. Les frais de deuxième instance, arrêtés à 1'000 fr. (mille francs), sont mis à la charge de la recourante X.________. IV. L’arrêt est exécutoire. Le président : La greffière : Du L'arrêt qui précède, dont la rédaction a été approuvée à huis clos, est notifié en expédition complète, par l'envoi de photocopies, à : - X.________ c/o [...] SA, - l’Office fédéral du commerce.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- 10 -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Préposé du Registre du commerce.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