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HX17.030995 vom 17. August 2017</w:t>
      </w:r>
    </w:p>
    <w:p>
      <w:r>
        <w:t>VD Tribunal cantonal, 2017-08-17, FR</w:t>
      </w:r>
    </w:p>
    <w:p>
      <w:r>
        <w:rPr>
          <w:b/>
        </w:rPr>
        <w:t xml:space="preserve">Quelle: </w:t>
      </w:r>
      <w:r>
        <w:t>https://mcp.opencaselaw.ch/entscheid/vd_gerichte_HX17.030995</w:t>
      </w:r>
    </w:p>
    <w:p>
      <w:r>
        <w:t>FR: VD_GERICHTE HX17.030995 du 17 août 2017</w:t>
      </w:r>
    </w:p>
    <w:p>
      <w:r>
        <w:t>IT: VD_GERICHTE HX17.030995 del 17 agosto 2017</w:t>
      </w:r>
    </w:p>
    <w:p>
      <w:pPr>
        <w:pStyle w:val="Heading2"/>
      </w:pPr>
      <w:r>
        <w:t>Erwägungen</w:t>
      </w:r>
    </w:p>
    <w:p>
      <w:r>
        <w:rPr>
          <w:b/>
        </w:rPr>
        <w:t>E. 4</w:t>
      </w:r>
    </w:p>
    <w:p>
      <w:r>
        <w:t>En définitive, le recours, mal fondé, doit être rejeté et la décision confirmée. Les frais judiciaires de deuxième instance, arrêtés à 100 fr. (art. 69 al. 1 TFJC [tarif des frais judiciaires civils du 28 septembre 2010 ; RSV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I.________. IV. L'arrêt est exécutoire. La présidente : La greffière : Du L'arrêt qui précède, dont la rédaction a été approuvée à huis clos, est notifié à : - M. D.________ pour I.________, - M. C.________ pour V.________.</w:t>
      </w:r>
    </w:p>
    <w:p>
      <w:r>
        <w:t>- 9 - La Chambre des recours civile considère que la valeur litigieuse est de 500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de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