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HX15.006400 vom 4. März 2015</w:t>
      </w:r>
    </w:p>
    <w:p>
      <w:r>
        <w:t>VD Tribunal cantonal, 2015-03-04, FR</w:t>
      </w:r>
    </w:p>
    <w:p>
      <w:r>
        <w:rPr>
          <w:b/>
        </w:rPr>
        <w:t xml:space="preserve">Quelle: </w:t>
      </w:r>
      <w:r>
        <w:t>https://mcp.opencaselaw.ch/entscheid/vd_gerichte_HX15.006400</w:t>
      </w:r>
    </w:p>
    <w:p>
      <w:r>
        <w:t>FR: VD_GERICHTE HX15.006400 du 4 mars 2015</w:t>
      </w:r>
    </w:p>
    <w:p>
      <w:r>
        <w:t>IT: VD_GERICHTE HX15.006400 del 4 marzo 2015</w:t>
      </w:r>
    </w:p>
    <w:p>
      <w:pPr>
        <w:pStyle w:val="Heading2"/>
      </w:pPr>
      <w:r>
        <w:t>Erwägungen</w:t>
      </w:r>
    </w:p>
    <w:p>
      <w:r>
        <w:rPr>
          <w:b/>
        </w:rPr>
        <w:t>E. 3</w:t>
      </w:r>
    </w:p>
    <w:p>
      <w:r>
        <w:t>Q.________ et Q.________ Sàrl en liquidation invoquent une violation de leur droit d’être entendu dès lors que la décision entreprise ne serait pas suffisamment motivée. a) Le droit d’être entendu est une garantie constitutionnelle (art. 29 al. 2 Cst. [Constitution fédérale de la Confédération suisse du 18</w:t>
      </w:r>
    </w:p>
    <w:p>
      <w:r>
        <w:t>- 7 - avril 1999 ; RS 101])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précité, JT 2011 IV 3; ATF 126 I 97 c. 2b précité, JT 2004 IV 3). b) En l’espèce, la décision entreprise a relevé qu’il ressortait des pièces que le bail avait été conclu par une personne morale, qu’il avait été mis fin au contrat de bail liant les parties selon convention de sortie signée le 5 novembre 2013 et que l’assistance n’était pas accordée s’il apparaissait que les prétentions ou moyens de défense de la partie requérante étaient mal fondés. Bien que sommairement motivée, cette décision ne viole pas le droit d’être entendu des recourants, qui ont pleinement été en mesure de faire valoir leurs arguments en deuxième instance. Ce grief est donc infondé.</w:t>
      </w:r>
    </w:p>
    <w:p>
      <w:r>
        <w:rPr>
          <w:b/>
        </w:rPr>
        <w:t>E. 4</w:t>
      </w:r>
    </w:p>
    <w:p>
      <w:r>
        <w:t>Q.________ et Q.________ Sàrl en liquidation soutiennent que leur cause n’est pas dénuée de chance de succès.</w:t>
      </w:r>
    </w:p>
    <w:p>
      <w:r>
        <w:t>- 8 - a) aa) Selon l’art. 117 CPC, une personne a droit à l’assistance judiciaire si cette personne ne dispose pas de ressources suffisantes (let. a) et si sa cause ne paraît pas dépourvue de toute chance de succès (let. b). Il n’appartient pas à l’Etat de financer pour une personne indigente un procès qu’un plaideur raisonnable ne soutiendrait pas à ses propres frais (ATF 125 Il 265 c. 4b; ATF 124 I 304 c. 2c ; ATF 122 I 267 c. 2b ; ATF 119 la 251 c. 3b ; ATF 119 III 113 c. 3a ; ATF 109 la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(TF 4A_455/2010 du 20 octobre 2010; ATF 133 II 614 c. 5; ATF 129 I 129 c. 2.3.1, JT 2005 IV 300 ; sur le tout : Tappy, op. cit., n. 31 ad art. 117 CPC et les réf. citées). En première instance, dans les causes patrimoniales, la condition des chances de succès, qui doit s’apprécier prima facie sur la base de la vraisemblance, voire des simples allégations du requérant, exclut l’octroi de l’assistance judiciaire au demandeur au fond dont l’action est vouée à l’échec. Le défendeur ne doit quant à lui se voir refuser l’assistance judiciaire que si le gain du procès par le demandeur, sur le principe, mais aussi sur le montant réclamé, apparaît très probable ; à cet égard, le défendeur est mieux placé que le demandeur (Tappy, op. cit., n. 32 ad art. 117 CPC).</w:t>
      </w:r>
    </w:p>
    <w:p>
      <w:r>
        <w:t>- 9 - bb) Savoir si le droit à l’assistance judiciaire peut être invoqué par une personne morale ou une entité sans personnalité ayant la qualité de partie soulève une problématique qui a été largement débattue jusqu’au 31 décembre 2010 (Tappy, CPC commenté, Bâle 2011, nn. 15 à 17 ad art. 117 CPC, qui discute de façon complète et exhaustive le problème précisément soulevé dans la présente cause). Tout en se référant à la controverse doctrinale à ce sujet et à la jurisprudence du Tribunal fédéral, le Message du 28 juin 2006 relatif au Code de procédure civile suisse (FF 2006 p. 6841;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du 18 avril 1999 ;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ATF 119 la 337 c. 4b, SJ 1994 I 221; ATF 116 lI 651 c. 2, rés. in JT 1991 I 381; ATF 88 Il 386 n. 54, JT 1963 I 219), de même qu’il a refusé de l’octroyer à une masse en faillite (ATF 125 V 371 c. 5). Seule une personne physique peut se trouver dans une situation d’indigence ou de pauvreté, tandis qu’une personne juridique peut tout au plus se trouver dans une situation de surendettement qui, s’agissant d’une société anonyme, l’expose à une déclaration de faillite (art. 725 et 725a CO; ATF 119 la 337 c. 3b). Dans un arrêt (ATF 119 la 337 c. 4e), le Tribunal fédéral a néanmoins envisagé une exception, en estimant « certes concevable</w:t>
      </w:r>
    </w:p>
    <w:p>
      <w:r>
        <w:t>- 10 -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publié à l’ATF 131 lI 306 c. 5.2.2, le Tribunal fédéral a admis que, « exceptionnellement, une personne morale pouvait y avoir droit, lorsque son seul actif est en litige et que, à ses côtés, des personnes économiquement intéressées sont dépourvu de moyens». La notion d’«intéressés économiquement»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 4d, JT 2000 I 130; ATF 116 Il 651, JT 1991 I 381 ; HohI, op. cit., n. 716). Une partie de la doctrine approuve le principe selon lequel les personnes morales n’ont pas droit à l’assistance judiciaire (cf. références citées in Köchli, Schweizerische Zivilprozessordnung [SHK ZPO], Berne 2010, n. 8 ad art. 117 CPC), dont HohI, Emmel et Jent-Sörensen, qui se réfèrent expressément à I’ATF 131 Il 306 (HohI, op. cit., n. 717 ; Emmel, in : Sutter-Somm/Hasenböhler/ Leuenberger, Kommentar zur Schweizerischen Zivilprozessordnung, 2e éd., Zurich 2013, n. 2 ad art. 117 CPC; Jent-Sörensen, in : Oberhammer/Domej/Haas, Kurzkommentar ZPO, 2e éd., Bâle 2014, n. 7 ad art. 117 CPC), ainsi que Tappy, pour qui, au vu</w:t>
      </w:r>
    </w:p>
    <w:p>
      <w:r>
        <w:t>- 11 - de l’indépendance juridique d’une société anonyme par rapport à ses actionnaires et l’absence de responsabilité de ceux-ci pour les dettes sociales, le fait que les actionnaires d’une telle société soient sans ressources ne suffit pas à octroyer l’assistance judiciaire à une telle société si son seul actif est l’objet du litige, comme suggéré à I’ATF 119 la 337 c. 4 (Tappy, op. cit., n. 17 ad art. 117 CPC). Ces considérations valent également, mutatis mutandis, pour les sociétés à responsabilité limitée. b) aa) En l’espèce, comme le relève la décision entreprise, le litige est de la compétence du tribunal des baux et a trait principalement au contrat de bail conclu entre Q.________ Sàrl en liquidation et l’intimée. Certes, Q.________ est l’associé gérant de Q.________ Sàrl, mais cela ne change rien au fait qu’il n’est pas personnellement partie au contrat de bail litigieux. Dans ces conditions, on voit mal comment la qualité pour agir pourrait lui être accordée, raison pour laquelle on doit admettre que la cause, en tant qu’elle concerne Q.________, est dépourvue de chance de succès. bb) Quant à Q.________ Sàrl en liquidation, elle fait valoir que l’on se trouve à son égard précisément dans le cas de l’exception prévue par le Tribunal fédéral, dès lors que son seul actif est la créance objet du litige (créance contre J.________) et que son seul associé gérant se trouve dans une situation d’indigence. Cette question peut demeurer ouverte, dès lors que la condition relative aux chances de succès n’est de toute manière pas non plus réalisée en ce qui la concerne. Dans le procès en cause, Q.________ Sàrl en liquidation plaide non seulement que le contrat de bail qu’elle a conclu avec l’intimée contiendrait des engagements excessifs au sens de 27 CC (code civil suisse du 10 décembre 1907 ; RS 210), mais qu’en plus la convention qu’elle a conclue le 5 novembre 2013 avec l’intimée serait entachée d’un vice du consentement, ces deux éléments ayant entraîné la faillite de la recourante. On peut relever que s’il est déjà peu aisé de faire valoir l’une des deux prétentions invoquées, il l’est d’autant plus de faire valoir les deux. On constate à ce stade que la convention du 5 novembre 2013</w:t>
      </w:r>
    </w:p>
    <w:p>
      <w:r>
        <w:t>- 12 - prévoit que les parties se donnent quittance pour solde de tout compte et de toutes prétentions. On ignore d’ailleurs quel type de vice du consentement la recourante entend invoquer pour invalider cette convention. Quant au contrat de bail, il s’agit de locaux commerciaux loués « brut », pour lesquels la recourante a fait des investissements importants pour l’exploitation d’un restaurant ; elle semble solliciter une indemnité pour la plus value alors même que cela va clairement à l’encontre des termes du contrat de bail conclu entre les parties. En somme, il apparaît que les perspectives de gagner sont notamment plus faibles que les risques de le perdre et qu’un plaideur raisonnable n’engagerait pas le procès pour lequel la recourante sollicite l’assistance judiciaire. Ce grief doit donc également être rejeté.</w:t>
      </w:r>
    </w:p>
    <w:p>
      <w:r>
        <w:rPr>
          <w:b/>
        </w:rPr>
        <w:t>E. 5</w:t>
      </w:r>
    </w:p>
    <w:p>
      <w:r>
        <w:t>Au vu de ce qui précède, les recours doivent être rejetés en vertu de l’art. 322 al. 1 CPC et la décision attaquée confirmée. A l’issue d’un examen rétrospectif des recours, on constate que ceux-ci étaient dénués de toute chance de succès, de sorte que l’assistance judiciaire doit être refusée aux deux recourants en procédure de recours également. Les frais judiciaires de deuxième instance, arrêtés à 100 fr. (art. 69 al. 3 TFJC [tarif des frais judiciaires civils du 28 septembre 2010 ; RSV 270.11.5]), sont mis à la charge solidairement des recourants, qui succombent (art. 106 al. 1 CPC). Aucune détermination n’ayant été demandée sur les recours, il n’y a pas matière à l’allocation de dépens de deuxième instance.</w:t>
      </w:r>
    </w:p>
    <w:p>
      <w:r>
        <w:t>- 13 - Par ces motifs, la Chambre des recours civile du Tribunal cantonal, en application de l'art. 322 al. 1 CPC, prononce : I. Les recours sont rejetés. II. Le prononcé est confirmé. III. Les requêtes d’assistance judiciaires de Q.________ et Q.________ Sàrl en liquidation sont rejetées. IV. Les frais judiciaires de deuxième instance, arrêtés à 100 fr. (cent francs), sont mis à la charge solidairement des recourants Q.________ et Q.________ Sàrl en liquidation. V. L’arrêt motivé est exécutoire. Le président : La greffière : Du 5 mars 2015 Le dispositif de l'arrêt qui précède est communiqué par écrit aux intéressés. La greffière :</w:t>
      </w:r>
    </w:p>
    <w:p>
      <w:r>
        <w:t>- 14 - Du L'arrêt qui précède, dont la rédaction a été approuvée à huis clos, est notifié en expédition complète, par l'envoi de photocopies, à : - Me Denis Cherpillod (pour Q.________ et Q.________ Sàrl en liquidation) ; -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