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HX13.021718 vom 1. Juli 2013</w:t>
      </w:r>
    </w:p>
    <w:p>
      <w:r>
        <w:t>VD Tribunal cantonal, 2013-07-01, FR</w:t>
      </w:r>
    </w:p>
    <w:p>
      <w:r>
        <w:rPr>
          <w:b/>
        </w:rPr>
        <w:t xml:space="preserve">Quelle: </w:t>
      </w:r>
      <w:r>
        <w:t>https://mcp.opencaselaw.ch/entscheid/vd_gerichte_HX13.021718</w:t>
      </w:r>
    </w:p>
    <w:p>
      <w:r>
        <w:t>FR: VD_GERICHTE HX13.021718 du 1 juillet 2013</w:t>
      </w:r>
    </w:p>
    <w:p>
      <w:r>
        <w:t>IT: VD_GERICHTE HX13.021718 del 1 luglio 2013</w:t>
      </w:r>
    </w:p>
    <w:p>
      <w:pPr>
        <w:pStyle w:val="Heading2"/>
      </w:pPr>
      <w:r>
        <w:t>Erwägungen</w:t>
      </w:r>
    </w:p>
    <w:p>
      <w:r>
        <w:rPr>
          <w:b/>
        </w:rPr>
        <w:t>E. 1</w:t>
      </w:r>
    </w:p>
    <w:p>
      <w:r>
        <w:t>Selon l'art. 18 al. 3 let. a ROTC (Règlement organique du Tribunal cantonal du 13 novembre 2007; RSV 173.31.1), la Chambre des recours civile exerce les compétences du Tribunal cantonal comme autorité de surveillance et de recours en matière de registre du commerce (art. 85 LOJV [Loi d'organisation judiciaire du 12 décembre 1979; RSV 173.01] et art. 7 LRC). Aux termes de l'art. 18 al. 5 ORC (Ordonnance sur le registre du commerce du 17 octobre 2007; RS 221.411), lorsque, pour des raisons impérieuses, une réquisition ne peut pas être régulièrement signée et que les conditions d'une procédure d'office au sens de l'art. 152 ne sont pas remplies, l'autorité de surveillance cantonale peut ordonner l'inscription sur demande de l'entité juridique ou de l'office du registre du commerce. En tant qu'autorité de surveillance cantonale, la Cour de céans est compétente pour rendre une décision sur la requête formée par N.________ sur invitation du Préposé au Registre du commerce, comme cela était déjà le cas sous l'ancien droit (Siffert/Turin, Handelsregisterverordnung, 2013, n. 11 ad art. 18 ORC ; Gwelessiani, Praxiskommentar zur Handelsregisterverordnung, 2e éd, 2012, n. 93 ad art. 18 ; ATF 60 I 381 c. 2).</w:t>
      </w:r>
    </w:p>
    <w:p>
      <w:r>
        <w:t>- 5 - Adressée à l'autorité compétente par un mandataire représentant la société N.________, la requête du 15 mai 2013 est recevable.</w:t>
      </w:r>
    </w:p>
    <w:p>
      <w:r>
        <w:rPr>
          <w:b/>
        </w:rPr>
        <w:t>E. 2</w:t>
      </w:r>
    </w:p>
    <w:p>
      <w:r>
        <w:t>a) Aux termes de l’art. 552 CO (Code des obligations du 30 mars 1911; RS 220),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(al. 1) ; les membres de la société sont tenus de la faire inscrire au registre du commerce (al. 2). Selon l’art. 938 CO, lorsqu’une industrie inscrite dans le registre du commerce cesse d’exister ou est cédée à un tiers, sa radiation du registre du commerce doit être requise par les anciens titulaires ou leurs héritiers. La réquisition doit permettre d’identifier clairement l’entité juridique et mentionner les faits à inscrire ou se référer aux pièces justificatives, qui doivent être mentionnées individuellement (art. 16 al. 1 ORC). L’inscription doit être requise par l’entité juridique concernée, soit en l’espèce la société en nom collectif (17 al. 1 let. b ORC) et la réquisition signée par les associés de celle-ci (art. 18 al. 1 ORC). Selon l’art. 938a al. 1 CO, lorsqu’une société n’exerce plus d’activités et n’a plus d’actifs réalisables (condition cumulative ; cf. Gwelessiani, op. cit., n. 543 ad art. 155 ORC), le préposé du registre du commerce peut la radier du registre du commerce après une triple sommation publique demeurée sans résultat. En pareilles circonstances, l’office du registre du commerce somme l’organe supérieur de direction ou d'administration de la société de requérir la radiation ou de lui communiquer les motifs d'un maintien de l'inscription dans les 30 jours (art. 155 al. 1 ORC). Selon l’art. 941 CO, le préposé au registre du commerce doit inviter les intéressés à requérir les inscriptions obligatoires et, au besoin, y procéder d’office. L’office du registre du commerce procède à une</w:t>
      </w:r>
    </w:p>
    <w:p>
      <w:r>
        <w:t>- 6 - inscription d’office lorsque les personnes tenues de requérir l’inscription ne remplissent pas leur obligation (let. a) ou lorsqu’une inscription ne correspond pas, ou plus, aux faits ou aux prescriptions juridiques et que les personnes tenues de requérir l’inscription ne requièrent pas l’inscription de la modification ou de la radiation (art. 152 al. 1 ORC). Lorsque, pour des raisons impérieuses, une réquisition ne peut pas être régulièrement signée et que les conditions d'une procédure d'office au sens de l'art. 152 ORC ne sont pas remplies, l'autorité de surveillance cantonale peut ordonner l'inscription sur demande de l'entité juridique ou de l'office du registre du commerce (art. 18 al. 5 ORC). Selon la doctrine, cette disposition ne peut être appliquée qu’à des conditions très restrictives, à savoir notamment lorsqu’une personne se trouve dans un état physique où il lui est impossible de signer (ex. coma) ou alors lorsque le lieu de séjour d’une personne domiciliée à l’étranger est inconnu (Gwelessiani, op. cit., n. 93 ad art. 18 ORC ; Siffert/Turin, op. cit., 2013, n. 11 ad art. 18 ORC). b) En l’espèce, force est de constater que la réquisition de radiation de N.________ n’a pas respecté les formes prescrites par la loi puisqu’elle n’a pas été signée par les deux associés (17 al. 1 ORC). En effet, la signature de W.________ fait défaut alors que le mandataire commun des héritiers de A.S.________ a signé cette réquisition. Cela étant, le Préposé au Registre du commerce a refusé de procéder à une inscription d’office. Pour ce faire, il s’est basé sur l’avis de l’Office fédéral du Registre du Commerce qui considère que si une société manifeste son intention de radier son inscription, les conditions de l’art. 152 ORC ne sont pas remplies et qui préconise dans ces circonstances de faire application de l’art. 18 al. 5 ORC dès lors que la réquisition est présentée mais non régulièrement signée. Il n’y a pas lieu de trancher si les conditions de l’art. 152 ORC sont réalisées en l’espèce, dès lors que l’on doit constater que l’existence de raisons impérieuses au sens de l’art. 18 al. 5 ORC n’est pas établie à satisfaction. En effet, les héritiers de A.S.________ ont allégué avoir essayé en vain de contacter W.________, lequel se trouverait à l’étranger, en vue de lui faire signer la requête de radiation de N.________.</w:t>
      </w:r>
    </w:p>
    <w:p>
      <w:r>
        <w:t>- 7 - Néanmoins, leur requête ne fournit à cet égard aucun élément tangible, les héritiers se contentant d’alléguer que diverses démarches ont été entreprises sans produire aucune pièce à cet égard. Il n’est du reste pas allégué par les héritiers que l’adresse de l’associé domicilié à l’étranger serait inconnue. A ce stade, on ne peut donc que constater que les conditions de l’art. 18 al. 5 ORC ne sont pas réalisées. Dans l’hypothèse où les éléments permettant de constater l’existence de raisons impérieuses seraient fournis à l’avenir par les héritiers, alors la requête de ces derniers pourrait être admise. Au demeurant, on relèvera que si les éléments fournis dans la requête des héritiers se révèlent exacts, à savoir le fait que N.________ ne dispose plus d’activités et qu’elle ne dispose pour seul actif que d'un compte bancaire dont le solde serait équivalent à quelques centaines de francs, on ne peut exclure que les conditions cumulatives de l’art. 155 ORC soient remplies en l’espèce.</w:t>
      </w:r>
    </w:p>
    <w:p>
      <w:r>
        <w:rPr>
          <w:b/>
        </w:rPr>
        <w:t>E. 3</w:t>
      </w:r>
    </w:p>
    <w:p>
      <w:r>
        <w:t>Il résulte de ce qui précède que la requête du 15 mai 2013 doit être rejetée en l’état. Les frais judiciaires, arrêtés à 300 fr. (art. 14 de l’Ordonnance sur les émoluments en matière de registre du commerce du 3 décembre 1954 ; RS 221.411.1) au vu de la complexité et la nature de la cause, sont mis à la charge de la requérante N.________. Par ces motifs, la Chambre des recours civile du Tribunal cantonal, autorité cantonale de surveillance en matière de registre du commerce, statuant à huis clos, prononce : I. La requête du 15 mai 2013 est rejetée en l’état.</w:t>
      </w:r>
    </w:p>
    <w:p>
      <w:r>
        <w:t>- 8 - II. Les frais judiciaires, arrêtés à 300 fr. (trois cents francs), sont mis à la charge de la requérante N.________. III. L’arrêt est exécutoire. Le président : Le greffier : Du L'arrêt qui précède, dont la rédaction a été approuvée à huis clos, est notifié en expédition complète, par l'envoi de photocopies, à : - Me Jean-Jacques de Luze, notaire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cantonal au Registre du commerce.</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