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HN16.018343 vom 21. März 2017</w:t>
      </w:r>
    </w:p>
    <w:p>
      <w:r>
        <w:t>VD Tribunal cantonal, 2017-03-21, FR</w:t>
      </w:r>
    </w:p>
    <w:p>
      <w:r>
        <w:rPr>
          <w:b/>
        </w:rPr>
        <w:t xml:space="preserve">Quelle: </w:t>
      </w:r>
      <w:r>
        <w:t>https://mcp.opencaselaw.ch/entscheid/vd_gerichte_HN16.018343</w:t>
      </w:r>
    </w:p>
    <w:p>
      <w:r>
        <w:t>FR: VD_GERICHTE HN16.018343 du 21 mars 2017</w:t>
      </w:r>
    </w:p>
    <w:p>
      <w:r>
        <w:t>IT: VD_GERICHTE HN16.018343 del 21 marzo 2017</w:t>
      </w:r>
    </w:p>
    <w:p>
      <w:pPr>
        <w:pStyle w:val="Heading2"/>
      </w:pPr>
      <w:r>
        <w:t>Erwägungen</w:t>
      </w:r>
    </w:p>
    <w:p>
      <w:r>
        <w:rPr>
          <w:b/>
        </w:rPr>
        <w:t>E. 3</w:t>
      </w:r>
    </w:p>
    <w:p>
      <w:r>
        <w:t>Il s’ensuit que le recours doit être partiellement admis et la cause renvoyée à la Juge de paix pour nouvelle instruction et nouvelle décision dans le sens des considérants. Au vu de l’issue du litige, les frais judiciaires de deuxième instance, arrêtés à 300 fr. (art. 74 al. 1 TFJC [tarif</w:t>
      </w:r>
    </w:p>
    <w:p>
      <w:r>
        <w:t>- 7 - des frais judiciaires civils du 28 septembre 2010 ; RSV 270.11.5]), seront laissés à la charge de l’Etat (art. 107 al. 2 CPC). Par ces motifs, la Chambre des recours civile du Tribunal cantonal, prononce : I. Le recours est partiellement admis. II. La décision est annulée et la cause est renvoyée à la Juge de paix du district de Lausanne pour nouvelle instruction et nouvelle décision dans le sens des considérants. III. Les frais judiciaires de deuxième instance, arrêtés à 300 fr. (trois cents francs), sont laissés à la charge de l’Etat. IV. L’arrêt est exécutoire. La présidente : Le greffier : Du L'arrêt qui précède, dont la rédaction a été approuvée à huis clos, est notifié à : - A.Z.________. La Chambre des recours civile considère que la valeur litigieuse est supérieure à 30’000 francs.</w:t>
      </w:r>
    </w:p>
    <w:p>
      <w:r>
        <w:t>- 8 -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