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HN15.002004 vom 2. Februar 2015</w:t>
      </w:r>
    </w:p>
    <w:p>
      <w:r>
        <w:t>VD Tribunal cantonal, 2015-02-02, FR</w:t>
      </w:r>
    </w:p>
    <w:p>
      <w:r>
        <w:rPr>
          <w:b/>
        </w:rPr>
        <w:t xml:space="preserve">Quelle: </w:t>
      </w:r>
      <w:r>
        <w:t>https://mcp.opencaselaw.ch/entscheid/vd_gerichte_HN15.002004</w:t>
      </w:r>
    </w:p>
    <w:p>
      <w:r>
        <w:t>FR: VD_GERICHTE HN15.002004 du 2 février 2015</w:t>
      </w:r>
    </w:p>
    <w:p>
      <w:r>
        <w:t>IT: VD_GERICHTE HN15.002004 del 2 febbraio 2015</w:t>
      </w:r>
    </w:p>
    <w:p>
      <w:pPr>
        <w:pStyle w:val="Heading2"/>
      </w:pPr>
      <w:r>
        <w:t>Erwägungen</w:t>
      </w:r>
    </w:p>
    <w:p>
      <w:r>
        <w:rPr>
          <w:b/>
        </w:rPr>
        <w:t>E. 1</w:t>
      </w:r>
    </w:p>
    <w:p>
      <w:r>
        <w:t>Par décision du 5 janvier 2015, la Juge de paix du district de l’Ouest lausannois a délivré à V.________ le certificat d’héritier du 16 juillet 2013 de feu B.________, décédé le [...] 2011. Par acte du 16 janvier 2015, V.________ a formé recours contre cette décision, indiquant qu’elle ne souhaitait pas faire partie des héritiers et requérant qu’on la retire de la liste.</w:t>
      </w:r>
    </w:p>
    <w:p>
      <w:r>
        <w:rPr>
          <w:b/>
        </w:rPr>
        <w:t>E. 2</w:t>
      </w:r>
    </w:p>
    <w:p>
      <w:r>
        <w:t>Les décisions relatives au certificat d’héritier sont des décisions gracieuses de droit fédéral. Dans le canton de Vaud, le certificat d’héritier est régi par les art. 133 ss CDPJ (Code de droit privé judiciaire vaudois du 12 janvier 2010, RSV 211.02). Les art. 104 à 109 CDPJ s’appliquent par le renvoi de l’art. 111 CDPJ. Le CPC (Code de procédure civile suisse du 19 décembre 2008, RS 272) est applicable à titre supplétif (art. 104 et 108 CDPJ). La juridiction gracieuse relevant de la procédure sommaire (art. 248 let. e CPC), seul le recours limité au droit est recevable contre les décisions relatives au certificat d’héritier (art. 109 al. 3 CDPJ; CREC 4 avril 2011/20 c. 1).</w:t>
      </w:r>
    </w:p>
    <w:p>
      <w:r>
        <w:rPr>
          <w:b/>
        </w:rPr>
        <w:t>E. 3</w:t>
      </w:r>
    </w:p>
    <w:p>
      <w:r>
        <w:t>; CREC 15 octobre 2012/363 ; Jeandin, op. cit., n. 4 ad art. 321 CPC, et n.</w:t>
      </w:r>
    </w:p>
    <w:p>
      <w:r>
        <w:rPr>
          <w:b/>
        </w:rPr>
        <w:t>E. 5</w:t>
      </w:r>
    </w:p>
    <w:p>
      <w:r>
        <w:t>ad art. 311 CPC par analogie). En l’espèce, l’acte déposé le 16 janvier 2015 ne comporte pas de motivation, la recourante se bornant à mentionner qu’elle ne souhaite pas faire partie de la liste des héritiers. Le recours, dépourvu de motivation, doit ainsi être déclaré irrecevable, sans qu’il y ait lieu d’impartir à la recourante un délai pour remédier aux vices de son écriture. 4. Au vu de ce qui précède, le recours doit être déclaré irrecevable en application de la procédure de l’art. 322 al. 1 CPC. L’arrêt peut être rendu sans frais (art. 10 TFJC [tarif des frais judiciaires civils du 28 septembre 2010, RSV 270.11.5]). Par ces motifs, la Chambre des recours civile du Tribunal cantonal, statuant à huis clos, en application de l'art. 322 al. 1 CPC, prononce : I. Le recours est irrecevable.</w:t>
      </w:r>
    </w:p>
    <w:p>
      <w:r>
        <w:t>- 4 - II. L’arrêt, rendu sans frais, est exécutoire. Le président : La greffière : Du L'arrêt qui précède, dont la rédaction a été approuvée à huis clos, est notifié à : - Mme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