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HN13.027788 vom 22. August 2013</w:t>
      </w:r>
    </w:p>
    <w:p>
      <w:r>
        <w:t>VD Tribunal cantonal, 2013-08-22, FR</w:t>
      </w:r>
    </w:p>
    <w:p>
      <w:r>
        <w:rPr>
          <w:b/>
        </w:rPr>
        <w:t xml:space="preserve">Quelle: </w:t>
      </w:r>
      <w:r>
        <w:t>https://mcp.opencaselaw.ch/entscheid/vd_gerichte_HN13.027788</w:t>
      </w:r>
    </w:p>
    <w:p>
      <w:r>
        <w:t>FR: VD_GERICHTE HN13.027788 du 22 août 2013</w:t>
      </w:r>
    </w:p>
    <w:p>
      <w:r>
        <w:t>IT: VD_GERICHTE HN13.027788 del 22 agosto 2013</w:t>
      </w:r>
    </w:p>
    <w:p>
      <w:pPr>
        <w:pStyle w:val="Heading2"/>
      </w:pPr>
      <w:r>
        <w:t>Volltext</w:t>
      </w:r>
    </w:p>
    <w:p>
      <w:r>
        <w:t>TRIBUNAL CANTONAL HN13.027788-131310 284 CHAMBRE D E S RECOURS CIVIL E _________________________________________ Arrêt du 22 août 2013 __________________ Présidence de M. CREUX, président Juges : MM. Winzap et Giroud Greffière : Mme Boryszewski ***** Art. 581 CC Statuant à huis clos sur le recours interjeté par A.K.________ fils, à Epalinges, contre la décision rendue le 12 juin 2013 par le Juge de paix du district de l'Ouest lausannois dans la succession de feu B.K.________ père, la Chambre des recours civile du Tribunal cantonal voit : 852</w:t>
      </w:r>
    </w:p>
    <w:p>
      <w:r>
        <w:t>- 2 - En fait : A. Par décision du 12 juin 2013, le Juge de paix du district de l'Ouest lausannois a admis la demande de rectification du 21 janvier 2013 de C.________ SA et A.K.________ fils (I), établi un nouvel inventaire de la succession de B.K.________ père (II) et rendu la décision sans frais (III). La demande de rectification du 21 janvier 2013 a été partiellement admise, en ce sens qu'une partie des créances de C.________ SA a été admise. Les créances de A.K.________ fils ont, quant à elles, toutes été écartées. Le premier juge a notamment considéré que le montant de la créance 1.1 de 301'288 fr. 50 n'était ni déterminé ni déterminable et que, s'agissant des créances 1.2 à 1.4, soit respectivement de 75'160 fr., 575'202 fr. et 25'053 fr. 35, le droit d'emption litigieux était prescrit. B. Par écriture du 24 juin 2013, A.K.________ fils (ci-après : le recourant) a interjeté un recours contre la décision précitée en concluant, sous suite de frais et dépens, comme suit : "I. Le présent recours est admis. II. L'inventaire officiel de la succession de feu B.K.________ père, décédé le [...] 2012, est révoqué respectivement réformé en ce sens que sont inscrits à l'inventaire des dettes les éléments suivants : "1. Créances de A.K.________ fils contre feu B.K.________ 1.1 frs 301'288.50 avec intérêts à 5% l'an dès le 11 février 2012 1.2 frs 75'160.00 avec intérêts à 5% l'an dès le 11 février 2012 1.3 frs 575'202.00 avec intérêts à 5% l'an dès le 5 février 2012 1.4 frs 25'053.35 avec intérêts à 5% l'an dès le 11 février 2012. III. Subsidiairement, l'inventaire officiel de la succession de feu B.K.________ père, décédé le [...] 2012, est annulé, la cause étant renvoyée au Juge de paix du district de l'Ouest lausannois pour nouvelle décision."</w:t>
      </w:r>
    </w:p>
    <w:p>
      <w:r>
        <w:t>- 3 - Par réponse du 2 août 2013, l'intimée F.________, sœur du recourant, a conclu, avec suite de frais et dépens, au rejet des conclusions du recourant. L'exécuteur testamentaire, Me D.________ n'a pas été interpellé. C. La Chambre des recours civile se réfère à l'état de fait de la décision, complété par les pièces du dossier, dont il ressort notamment ce qui suit : B.K.________ père et son associé [...] exploitaient une carrosserie sise sur les parcelles nos [...] et [...] de la commune de [...], dont ils étaient copropriétaires à raison de 7/10èmes pour B.K.________ père et 3/10èmes pour [...]. Par convention notariale du 8 novembre 1977, [...] a conféré à B.K.________ père un droit d'emption et de préemption sur sa part de 3/10èmes. La convention prévoyait notamment un montant de 102'000 fr. pour le droit d'emption. Le 8 novembre 1988, B.K.________ père et fils ont signé une convention, par laquelle A.K.________ père a cédé à titre onéreux à son fils son droit d'emption sur la quote-part de 3/10èmes. Les 3 et 18 décembre 1991, B.K.________ père et le recourant ont signé une convention portant sur les modalités de règlement de la succession de [...], respectivement, épouse de B.K.________ et mère du recourant. Son contenu est notamment le suivant : "(…) 4. La part nette de M. A.K.________ junior dans la succession de Mme [...] est arrêtée à Fr. 125'000.--. (…) 6. Le montant dû par M. B.K.________ senior à son fils M. A.K.________ est laissé à titre de prêt à M. B.K.________ senior, aux taux de 7 % l'an, (…). En principe, le capital et les intérêts ne seront pas exigés, mais simplement comptabilisés. (…)"</w:t>
      </w:r>
    </w:p>
    <w:p>
      <w:r>
        <w:t>- 4 - Par acte notarié du 25 janvier 1995, la veuve de [...] a transféré à B.K.________ père la quote-part de 3/10èmes sur les parcelles nos [...] et [...] contre paiement d'un montant de 102'000 fr, lequel est ainsi devenu seul propriétaire des parcelles. Le 30 mars 2011, A.K.________ fils a déposé une requête de mesures provisionnelles et superprovisionnelles auprès du Juge délégué de la Chambre patrimoniale cantonal, concluant notamment à ce qu'il soit ordonné au conservateur du registre foncier de [...] d'inscrire en sa faveur une restriction du droit d'aliéner sur la parcelle n. [...]. Par ordonnance de mesures provisionnelles du 9 juin 2011, le juge délégué de la Chambre patrimoniale cantonale a rejeté la requête de A.K.________ fils. Il a relevé en substance ce qui suit : "(…) L'article 216a CO prévoit que les droits d'emption peuvent être convenus pour dix au plus. Cet article a été introduit par la loi fédérale du 4 octobre 1991 et est entré en vigueur le 1er janvier 1994, soit après la constitution du droit d'emption litigieux (…). Il se justifie donc de résoudre la question de l'application de cette disposition au cas présent. (…) Le Tribunal fédéral a considéré pour sa part que la protection de la confiance exclue de fixer le point de départ du délai de l'art. 216a CO à une date antérieure à celle de l'entrée en vigueur de cette disposition, en particulier à la date de constitution du droit litigieux. Ainsi le dies a quo pour le calcul du délai (…) ne peut être que le 1er janvier 1994. (…) Le droit d'emption litigieux en l'espèce a expiré le 1er janvier 2004. Il était donc prescrit lorsque A.K.________ fils a déposé sa requête de mesures provisionnelles le 30 mars 2011. (…)" Le 22 février 2005, l'Office des poursuites de Morges-Aubonne a, sur requête de A.K.________ fils, notifié un commandement de payer à B.K.________ père pour un montant de 125'000 fr. plus intérêts du 28 août 1989 au 31 décembre 2004 à un taux variable. Ce dernier a fait opposition totale. Par prononcé du 22 juin 2005, le Juge de paix du district de Morges a rejeté la requête de mainlevée déposée par A.K.________ fils, lequel a ensuite recouru auprès de la Cour des poursuites et faillites du</w:t>
      </w:r>
    </w:p>
    <w:p>
      <w:r>
        <w:t>- 5 - Tribunal cantonal. Par arrêt du 2 mars 2006, la cour a rejeté le recours notamment en raison des motifs suivants : "(…) Le montant que le poursuivi doit à son fils et qui lui est laissé à titre de prêt, selon l'article 6 de la convention des 3 et 18 décembre 1991, n'est ni déterminé ni même aisément déterminable. En particulier, il ne ressort pas clairement de la convention, et cela n'est pas établi non plus par les autres pièces au dossier que « le montant dû par B.K.________ Senior à son fils » correspondrait à la part de ce dernier dans la succession de sa mère et que le montant laissé en prêt au poursuivi serait ainsi de 125'000 francs. (…) En outre, l'exigibilité de la dette n'est pas établie. La convention prévoit en effet qu'en principe, le capital et les intérêts ne seront pas exigés, mais simplement comptabilisés (art. 6). (…)" Le [...] 2012, B.K.________ père, domicilié de son vivant à [...], est décédé en laissant comme seuls héritiers ses enfants A.K.________ fils et F.________. Le 6 mars 2012, A.K.________ fils a déposé une requête d'inventaire auprès du Juge de paix du district de l'Ouest lausannois. Par décision du 31 mai 2012, le juge de paix a ordonné l'administration d'office de la succession (I), nommé Me D.________ en qualité d'administrateur officiel (II), et l'a invité à déposer l'inventaire de cette succession (III). Le 18 septembre 2012, l'exécuteur testamentaire a adressé un rapport d'inventaire au juge de paix, dont le contenu est le suivant s'agissant de la créance 1.1 d'un montant de 301'288 fr. 50 : "(…) Cette prétention ne peut être admise à l'inventaire des actifs. Il n'est pas concevable que M. B.K.________ Senior ait entendu imposer 22 ans après la signature de la convention susrappelée (ndr : convention des 3 et 18 décembre 1991) qui précise que le capital et les intérêts ne seront en principe pas exigés, le remboursement de ce montant alors qu'il entendait révoquer un pacte successoral qui n'avait plus raison d'être étant donné l'évolution du contexte familial pour recréer une parfaite égalité entre ses deux enfants. Par ailleurs, il est rappelé, qu'aux termes de son prononcé du 2 mars 2006, la Cour des poursuites et faillites du Tribunal cantonal saisie d'une demande de mainlevée d'une poursuite engagée par M. A.K.________ Junior contre M.B.K.________ Senior du chef de la prétention susrappelée a constaté que le montant du prêt invoqué</w:t>
      </w:r>
    </w:p>
    <w:p>
      <w:r>
        <w:t>- 6 - n'était ni déterminé ni même aisément déterminable et voire prescrit. (…)" Il a également ajouté, concernant les créances 1.2 à 1.4, ce qui suit : "(…) Les prétentions que M. A.K.________ Junior fait valoir (…) fondées sur la convention comportant un droit de préemption et droit d'emption instrumentée en la forme authentique par l'exécuteur testamentaire le 8 novembre 1977, ne peuvent être admises. Elles reposent essentiellement sur le fait que M. B.K.________ Senior a cédé à son fils M. A.K.________ Junior le droit d'emption résultant de la convention sur la part de M. [...] de 3/10èmes aux parcelles nos [...] et [...] de la Commune de [...]. La pièce produite pour justifier ces prétentions consiste en une convention d'une page portant le no 1, non datée et de surcroît sous seing privé. Cette cession est manifestement entachée d'un vice de forme. De plus, il est rappelé que par ordonnance rendue le 9 juin 2011 sur cet objet, le Juge délégué de la Chambre patrimoniale cantonale a constaté que le droit d'emption litigieux avait expiré le 1er janvier 2004 et qu'il était prescrit, indépendamment de la question touchant le vice de forme. (…)" Par acte du 21 janvier 2013, C.________ SA, représentée par son administrateur A.K.________ fils, et A.K.________ fils lui-même ont interjeté un recours contre l'inventaire successoral précité en concluant, sous suite de frais et dépens, à sa révocation, respectivement à sa réforme, en ce sens que sont inscrits à l'inventaire les créances 1.1 à 1.4 en faveur de A.K.________ fils et 2.1 à 2.4 en faveur de C.________ SA. Par arrêt du 3 mai 2013, la Chambre des recours civile du Tribunal cantonal a déclaré le recours irrecevable et a retourné le dossier au premier juge afin qu'il statue sur les rectifications requises. En d roit : 1. En droit vaudois, le bénéfice d’inventaire est régi par les art. 141 ss CDPJ (Code de droit privé judiciaire vaudois du 12 janvier 2010;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w:t>
      </w:r>
    </w:p>
    <w:p>
      <w:r>
        <w:t>- 7 -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s'appliquent à titre supplétif (art. 104 al. 1 CDPJ). Le bénéfice d’inventaire étant régi par la procédure sommaire, le recours, écrit et motivé, est introduit dans les dix jours à compter de la notification de la décision motivée auprès de l'instance de recours (art. 321 al. 1 et 2 CPC [Code de procédure civile du 19 décembre 2008; RS 272]), soit, en l'occurrence, la Chambre des recours civile (art. 73 al. 1 LOJV [Loi vaudoise d'organisation judiciaire du 12 décembre 1979; RSV 173.01]). Statuant sur la requête en rectification de l’inventaire civil, le juge de paix a refusé, le 12 juin 2013, de modifier l’inventaire litigieux. Le recours, déposé le 24 juin suivant, l'a été en temps utile. En qualité d’héritier du défunt, A.K.________ fils a un intérêt juridique à recourir. S'agissant d'un recours prévu par la loi (109 al. 3 CDPJ), la question d'un préjudice irréparable ne se pose pas. Il s’ensuit que le recours est recevable à la forme. 2. a) Le recours est recevable pour violation du droit et constatation manifestement inexacte des faits (art. 320 CPC).</w:t>
      </w:r>
    </w:p>
    <w:p>
      <w:r>
        <w:t>- 8 - L'autorité de recours dispose d'un plein pouvoir d'examen s'agissant de la violation du droit (Spühler, Basler Kommentar ZPO, Bâle 2010, n. 12 ad art. 319 CPC, p. 1504). Elle revoit librement les questions de droit soulevées par le recourant et peut substituer ses propres motifs à ceux de l'autorité précédente ou du recourant (Hohl, Procédure civile, tome II, 2ème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Le recourant soutient que la créance 1.1 résulterait d'un prêt qu'il aurait consenti à son père selon une convention datée des 3 et 18 décembre 1991 portant sur les modalités de règlement de la succession de sa mère [...]. Sa créance s'élèverait à un montant de 125'000 fr. augmenté des intérêts conventionnels à 7 % l'an calculé sur vingt-deux ans, soit au total 301'288 fr. 50, plus intérêts à 5 % l'an dès le 11 février 2012. Il remet également en doute l'impartialité de Me D.________ relevant qu'il a, à la fois, rédigé la convention des 3 et 18</w:t>
      </w:r>
    </w:p>
    <w:p>
      <w:r>
        <w:t>- 9 - décembre 1991, instrumenté un acte le concernant, légalisé des signatures et agi en qualité d'exécuteur testamentaire. L'intimée conteste les griefs du recourant et fait sien l'avis de l'exécuteur testamentaire. b) 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réf. citées). Selon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4ème éd., 2011, n. 1 ad art. 583 CC, p. 593). Les créanciers et les débiteurs sont avisés de l'inventaire (art. 583 al. 2 CC).</w:t>
      </w:r>
    </w:p>
    <w:p>
      <w:r>
        <w:t>- 10 - Selon la doctrine, l'autorité qui établit l'inventaire n'a pas à se préoccuper du caractère fondé des dettes du défunt portées à l'inventaire, celui-ci n'ayant qu'un effet déclaratif (Wissmann, op. cit., n. 11 ad art. 581 CC, p. 585). La restriction de la responsabilité de l’héritier découlant de l’inventaire ne vaut que pour les dettes de la succession; l’inventaire ne déploie aucun effet quant aux actifs successoraux (ATF 113 II 118, JT 1988 I 148, Wissmann, op. cit., n. 5 ad art. 580-592, p. 572) c) Le premier juge a écarté la prétention du recourant en s'appuyant sur l'avis de l'exécuteur testamentaire, lequel a repris à son compte l'arrêt du 2 mars 2006 de la Cour des poursuites et faillites du Tribunal cantonal. La Cour des poursuites et faillites a en substance retenu que le montant du prêt n'était ni déterminé ni déterminable au motif qu'il ne ressortait pas clairement de la convention ou d'autres pièces du dossier que le montant dû par B.K.________ père à son fils correspondait à la part de ce dernier dans la succession de sa mère ni qu'il s'élèverait à 125'000 francs. Par ailleurs, elle a ajouté que l'exigibilité de la dette n'était pas établie compte tenu de l'existence de la clause n. 6 prévoyant qu'en principe, le capital et les intérêts ne seraient pas exigés, mais simplement comptabilités. Le recourant ne démontre pas l'arbitraire de cette motivation. Il se borne à opposer sa propre version, selon laquelle le montant serait déterminable, soit 125'000 fr. et la dette exigible. Cette motivation est cependant insuffisante. On peut s'étonner au surplus que le recourant, pourtant assisté, n'ait pas persisté dans cette procédure, soit en saisissant l'instance supérieure, soit le juge du fond pour faire connaître l'existence du contrat de prêt, l'arrêt de la Cour des poursuites et faillites datant de 2006. Quant à l'affirmation selon laquelle l'exécuteur testamentaire ferait preuve de partialité, elle ne repose sur aucun fait.</w:t>
      </w:r>
    </w:p>
    <w:p>
      <w:r>
        <w:t>- 11 - Mal fondé, ce premier moyen doit être rejeté et la décision confirmée s'agissant de la créance 1.1 d'un montant de 301'288.50 avec intérêts à 5 % l'an dès le 11 février 2012. 4. a) Les créances 1.2 à 1.4, soit d'un montant de 75'160 fr., 575'202 fr. et 25'053 fr. 35 découleraient, selon le recourant, de la violation par B.K.________ père du droit d'emption que ce dernier lui aurait reconnu selon la convention de cession de droit d'emption du 8 novembre 1988. Sa prétention équivaudrait ainsi à 3/10èmes des produits des actifs immobiliers découlant de ces parcelles ainsi que de la valeur des immeubles restant. b) La décision attaquée repose à nouveau sur l'avis de l'exécuteur testamentaire, lequel a été confirmé par une ordonnance de mesures provisionnelles du Juge délégué de la Chambre patrimoniale cantonale du 9 juin 2011. Le juge délégué a, à juste titre, relevé que le droit d'emption constitué le 8 novembre 1977 a expiré le 1er janvier 2004, soit dix ans après la date d'entrée en vigueur de l'art. 216a CO (Code des obligations du 30 mars 1911; RS 220). Ce droit étant manifestement prescrit, le juge de paix n'avait pas à faire porter à l'inventaire les créances en découlant. Se bornant à des conjectures, le recourant n'entreprend pas de démontrer le contraire. Ses créances 1.2 à 1.4 se révèlent ainsi dénuées de tout fondement. Au vu de ce qui précède, le recours déposé par A.K.________ fils doit être rejeté et la décision attaquée confirmée. 5. Les frais judiciaires de deuxième instance, arrêtés à 2'000 fr. (art. 74 al. 1 TFJC [tarif des frais judiciaires civils du 28 septembre 2010; RSV 270.11.5]), doivent être mis à la charge du recourant qui succombe (art. 106 al. 1 CPC).</w:t>
      </w:r>
    </w:p>
    <w:p>
      <w:r>
        <w:t>- 12 - Le recourant doit verser à l'intimée - qui a conclu au rejet du recours - la somme de 1'500 fr. à titre de dépens de deuxième instance (art. 8 al. 1 et 20 al. 2 TDC [tarif des dépens en matière civile du 23 novembre 2010; RSV 270.11.6]). Par ces motifs, la Chambre des recours civile du Tribunal cantonal, statuant à huis clos, prononce : I. Le recours est rejeté. II. La décision est confirmée. III. Les frais judiciaires de deuxième instance, arrêtés à 2'000 fr. (deux mille francs), sont mis à la charge du recourant. IV. Le recourant versera à l'intimée F.________ la somme de 1'500 fr. (mille cinq cents francs) à titre de dépens de deuxième instance. V. L'arrêt motivé est exécutoire. Le président : La greffière : Du 23 août 2013 Le dispositif de l'arrêt qui précède est communiqué par écrit aux intéressés. La greffière :</w:t>
      </w:r>
    </w:p>
    <w:p>
      <w:r>
        <w:t>- 13 - Du L'arrêt qui précède, dont la rédaction a été approuvée à huis clos, est notifié en expédition complète, par l'envoi de photocopies, à : - Me Jean-Daniel Théraulaz (pour A.K.________ fils) - Me Nicolas Gillard (pour F.________) La Chambre des recours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 Me D.________, notaire.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