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HN12.020414 vom 17. August 2012</w:t>
      </w:r>
    </w:p>
    <w:p>
      <w:r>
        <w:t>VD Tribunal cantonal, 2012-08-17, FR</w:t>
      </w:r>
    </w:p>
    <w:p>
      <w:r>
        <w:rPr>
          <w:b/>
        </w:rPr>
        <w:t xml:space="preserve">Quelle: </w:t>
      </w:r>
      <w:r>
        <w:t>https://mcp.opencaselaw.ch/entscheid/vd_gerichte_HN12.020414</w:t>
      </w:r>
    </w:p>
    <w:p>
      <w:r>
        <w:t>FR: VD_GERICHTE HN12.020414 du 17 août 2012</w:t>
      </w:r>
    </w:p>
    <w:p>
      <w:r>
        <w:t>IT: VD_GERICHTE HN12.020414 del 17 agosto 2012</w:t>
      </w:r>
    </w:p>
    <w:p>
      <w:pPr>
        <w:pStyle w:val="Heading2"/>
      </w:pPr>
      <w:r>
        <w:t>Erwägungen</w:t>
      </w:r>
    </w:p>
    <w:p>
      <w:r>
        <w:rPr>
          <w:b/>
        </w:rPr>
        <w:t>E. 5</w:t>
      </w:r>
    </w:p>
    <w:p>
      <w:r>
        <w:t>a) Le recourant se plaint également d'une violation des art. 554 al. 1 ch. 4 et 556 al. 3 CC. Son moyen porte sur l'administration d'office de la succession et la désignation d'un administrateur. Invoquant la jurisprudence, il considère que, dans le cas d'espèce, compte tenu de sa qualité d'héritier légal demandant l'administration d'office d'une part et du conflit d'intérêts l'opposant aux intimées d'autre part, le premier juge avait l'obligation d'ordonner l'administration d'office. En outre, il considère qu'au vu de ce même conflit d'intérêts, il est exclu d'envisager que les intimées puissent assumer le mandat d'administrateur officiel. b) L'administration d'office de la succession constitue une des mesures de sûreté que le juge ordonne pour assurer la dévolution de l'hérédité (art. 551 al. 1 et 2 CC). Les cas d'administration d'office d'une succession sont énumérés par l'art. 554 al. 1 CC. Selon cette disposition, une telle mesure doit être ordonnée en cas d'absence prolongée d'un héritier qui n'a pas laissé de fondé de pouvoirs, si cette mesure est commandée par l'intérêt de l'absent (ch. 1), lorsque aucun de ceux qui prétendent à la succession ne peut apporter une preuve suffisante de ses droits ou s'il est incertain qu'il y ait un héritier (ch. 2), lorsque tous les héritiers du défunt ne sont pas connus (ch. 3) et dans les autres cas prévus par la loi (ch. 4), soit notamment celui de l'art. 556 al. 3 CC. Selon cette disposition, dès qu'un testament est remis à l'autorité compétente, celle-ci doit soit envoyer les héritiers légaux en possession provisoire, soit ordonner l'administration d'office de la succession.</w:t>
      </w:r>
    </w:p>
    <w:p>
      <w:r>
        <w:t>- 11 - A défaut d'héritiers légaux à qui la gestion des biens puisse être confiée, ou lorsque la gestion par les héritiers légaux présente des risques, en particulier pour les héritiers institués, l'autorité ordonnera donc l'administration d'office (TF 5A_502/2008 du 4 mars 2009 c. 2; TF 5P.352/2006 du 19 février 2007 c. 4 et les réf. citées). Selon certains auteurs, il ne serait toutefois pas toujours obligatoire d'ordonner une administration d'office. Ainsi, lorsqu'un exécuteur testamentaire a été désigné par le défunt, il ne serait pas nécessaire d'y procéder, la gestion de la succession par l'exécuteur testamentaire offrant en général une sécurité suffisante (Steinauer, Le droit des successions, 2006, ch. 889, p. 435; Karrer, Commentaire bâlois, éd. 2011, n. 28 in fine ad art. 556 CC). Par ailleurs, lorsque l'administration d'office est ordonnée, l'autorité désigne en règle générale l'exécuteur testamentaire comme administrateur d'office (art. 554 al. 2 CC; Steinauer, op. cit., ch. 889, note 66). Autrement dit, l'administration d'office est une mesure conservatoire et elle droit être prononcée lorsque la gestion provisoire par l'exécuteur testamentaire présente des risques pour la délivrance des biens aux héritiers institués (TF 5A_502/2008 du 4 mars 2009 c. 2; TF 5P.352/2006 du 19 février 2007 c. 4 et les réf. citées). Pour une partie de la doctrine, l'administration d'office doit être ordonnée chaque fois que l'un des héritiers légaux au moins - réservataire ou non - est exclu de la succession et qu'il existe au moins un héritier institué (Piotet, Droit successoral, in: Traité de droit privé suisse, t. IV, 1975, § 92 I, p. 657). Cette opinion n'est pas partagée par une majorité d'auteurs, pour lesquels le risque d'atteinte à la la dévolution de l'hérédité que présente la gestion de la succession par l'exécuteur testamentaire ou par des héritiers légaux est déterminant (Karrer, ibidem; Steinauer, op. cit., ch. 888, p. 435 et les auteurs cités en note 65 ; Schuler-Buche, L'exécuteur testamentaire, l'administrateur officiel et le liquidateur officiel, thèse Lausanne 2003, p. 25 et les réf. citées en note 135). La décision de l'autorité compétente dépend donc de la confiance qu'elle a en les héritiers légaux ou en l'exécuteur testamentaire.</w:t>
      </w:r>
    </w:p>
    <w:p>
      <w:r>
        <w:t>- 12 - c) En l'espèce, le recourant ne fait qu'alléguer les éléments qui fonderaient le risque justifiant la désignation d'une administration d'office, mais n'apporte aucune preuve à l'appui de ces éléments. Le premier juge a, au contraire, considéré qu'au vu des dispositions prises (maintien de la gestion par un "family office" habitué à le faire, recours à des professionnels aux côtés des exécutrices testamentaires), un tel risque n'existait en l'état pas ou n'était pas démontré. Cette appréciation n'est ni erronée, ni arbitraire et doit être confirmée. Mal fondé, le moyen doit être écarté. Au vu de ce qui précède, il n'est pas nécessaire d'examiner les moyens soulevés par le recourant pour s'opposer, en cas d'administration d'office, à la désignation des intimées pour assumer ce mandat.</w:t>
      </w:r>
    </w:p>
    <w:p>
      <w:r>
        <w:rPr>
          <w:b/>
        </w:rPr>
        <w:t>E. 6</w:t>
      </w:r>
    </w:p>
    <w:p>
      <w:r>
        <w:t>En conclusion, le recours doit être rejeté et la décision attaquée confirmée. Les frais judiciaires de deuxième instance, arrêtés à 2'000 fr. (art. 74 TFJC [tarif des frais judiciaires civils du 28 septembre 2010; RSV 270.11.5]) sont mis à la charge du recourant qui succombe (art. 106 al. 1 CPC). Des dépens, arrêtés à 3'000 fr. et mis à la charge du recourant, sont accordés aux intimées à titre de participation aux honoraires de leur conseil.</w:t>
      </w:r>
    </w:p>
    <w:p>
      <w:r>
        <w:t>- 13 - Par ces motifs, la Chambre des recours civile du Tribunal cantonal, statuant à huis clos, prononce : I. Le recours est rejeté. II. La décision est confirmée. III. Les frais judiciaires de deuxième instance, arrêtés à 2'000 fr. (deux mille francs), sont mis à la charge du recourant. IV. Le recourant A.R.________ doit aux intimées B.R.________ et J.________, solidairement entre elles, la somme de 3'000 fr. (trois mille francs), à titre de dépens de deuxième instance. V. L'arrêt motivé est exécutoire. Le président : La greffière : Du 17 août 2012 Le dispositif de l'arrêt qui précède est communiqué par écrit aux intéressés. La greffière :</w:t>
      </w:r>
    </w:p>
    <w:p>
      <w:r>
        <w:t>- 14 - Du L'arrêt qui précède, dont la rédaction a été approuvée à huis clos, est notifié en expédition complète, par l'envoi de photocopies, à : - Me Cédric Aguet, avocat (pour A.R.________), - Me Jean-Christophe Diserens, avocat (pour B.R.________ et J.________).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