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HN12.009327 vom 7. Juni 2012</w:t>
      </w:r>
    </w:p>
    <w:p>
      <w:r>
        <w:t>VD Tribunal cantonal, 2012-06-07, FR</w:t>
      </w:r>
    </w:p>
    <w:p>
      <w:r>
        <w:rPr>
          <w:b/>
        </w:rPr>
        <w:t xml:space="preserve">Quelle: </w:t>
      </w:r>
      <w:r>
        <w:t>https://mcp.opencaselaw.ch/entscheid/vd_gerichte_HN12.009327</w:t>
      </w:r>
    </w:p>
    <w:p>
      <w:r>
        <w:t>FR: VD_GERICHTE HN12.009327 du 7 juin 2012</w:t>
      </w:r>
    </w:p>
    <w:p>
      <w:r>
        <w:t>IT: VD_GERICHTE HN12.009327 del 7 giugno 2012</w:t>
      </w:r>
    </w:p>
    <w:p>
      <w:pPr>
        <w:pStyle w:val="Heading2"/>
      </w:pPr>
      <w:r>
        <w:t>Erwägungen</w:t>
      </w:r>
    </w:p>
    <w:p>
      <w:r>
        <w:rPr>
          <w:b/>
        </w:rPr>
        <w:t>E. 1</w:t>
      </w:r>
    </w:p>
    <w:p>
      <w:r>
        <w:t>a) La recourante fait valoir que la délivrance de l'autorisation de procéder en cause la prive de la possibilité d'invoquer le défaut de comparution personnelle des intimés A.G.________ et B.G.________ à l'audience de conciliation tant dans la présente procédure que dans une autre procédure ouverte devant le Tribunal des baux. Elle relève qu'une décision de la cour de céans serait de nature à lui éviter une longue procédure en contestation de congé, ce d'autant que L.________ SA est dans une situation précaire et que les intimés A.G.________ et B.G.________ sont en litige avec l'administratrice actuelle de cette société. b) 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2011 n. 22 ad art. 319 CPC, p. 1274 ; Hohl, Procédure civile, tome II, 2e éd., 2010, n° 2485, p. 449). La Chambre des recours civile a considéré qu'un défendeur à une action ne subissait aucun préjudice difficilement réparable du fait de</w:t>
      </w:r>
    </w:p>
    <w:p>
      <w:r>
        <w:t>- 5 -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 c) En l'espèce, la situation se différencie de celle réglée par l'arrêt du 19 juillet 2011 précité. En effet la recourante n'invoque pas son propre défaut, qui serait sans incidence sur la suite de la procédure (art. 206 al. 2 CPC), mais celui des intimés, demandeurs à l'action en contestation du congé, dont la sanction est la fiction de retrait de la requête et la fin de la procédure par un prononcé rayant la cause du rôle (art. 206 al. 1 CPC), partant la péremption des conclusions en annulation du congé, vu le délai de l'art. 273 CO. La délivrance d'une autorisation de procéder dans cette hypothèse est de nature à causer un préjudice juridique difficilement réparable à la recourante dès lors qu'elle la prive des effets de cette péremption. La voie du recours de l'art. 319 let. b ch. 2 CPC est ainsi ouverte. d)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w:t>
      </w:r>
    </w:p>
    <w:p>
      <w:r>
        <w:t>- 6 -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la recourante en deuxième instance sont irrecevables dans la mesure où elles ne figurent pas déjà au dossier de première instance.</w:t>
      </w:r>
    </w:p>
    <w:p>
      <w:r>
        <w:t>- 7 -</w:t>
      </w:r>
    </w:p>
    <w:p>
      <w:r>
        <w:rPr>
          <w:b/>
        </w:rPr>
        <w:t>E. 3</w:t>
      </w:r>
    </w:p>
    <w:p>
      <w:r>
        <w:t>La recourante soutient que la Commission de conciliation ne pouvait délivrer une autorisation de procéder, mais devait rayer la cause du rôle, l'ensemble des locataires n'ayant pas comparu personnellement.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tous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En l'espèce, le bail litigieux a été conclu à la fois par K.________ SA, devenue l'intimée L.________ SA, et par les intimés A.G.________ et B.G.________. Les intimés ont en outre contesté ensemble la résiliation de bail en cause dans leur requête à la Commission de conciliation. Ils étaient donc tenus de se présenter chacun personnellement à l'audience de conciliation du 14 février 2012 ou de requérir une dispense aux conditions de l'art. 204 al. 3 CPC, ce que les intimés A.G.________ et B.G.________ n'ont pas fait. A cet égard, il y a lieu de relever que le fait que ces derniers n'exploitent plus l'établissement en cause ne les déliait pas de leurs obligations contractuelles découlant du bail, partant ne constituait pas une cause de dispense de comparution personnelle. Les intimés A.G.________ et</w:t>
      </w:r>
    </w:p>
    <w:p>
      <w:r>
        <w:t>- 8 - B.G.________ étaient en conséquence défaillants au sens de l'art. 206 al. 1 CPC, ce qui implique à tout le moins que l'autorisation de procéder ne devait pas leur être délivrée, mais la cause rayée du rôle en ce qui les concerne. On ne saurait en outre limiter les conséquences de ce défaut aux seuls intimés qui n'ont pas comparu. En effet, si une partie de la doctrine admet qu'un des colocataires peut contester seul une résiliation de bail, question que la jurisprudence a laissé ouverte (ATF 136 III 431 c.</w:t>
      </w:r>
    </w:p>
    <w:p>
      <w:r>
        <w:rPr>
          <w:b/>
        </w:rPr>
        <w:t>E. 3.2</w:t>
      </w:r>
    </w:p>
    <w:p>
      <w:r>
        <w:t>et références; TF 4C.37/2001 du 30 mai 2001 c. 2b/bb et références), les règles de la consorité nécessaire obligent le locataire qui agit à impliquer son ou ses colocataires dans le procès (TF 4C.37/2001 précité). On ne peut ainsi pas envisager une annulation du congé ne concernant que le locataire qui agit judiciairement, car cela reviendrait à imposer au bailleur un transfert du bail de l'ensemble des colocataires à une partie d'entre eux, sans que les conditions de l'art. 263 CO pour les baux de locaux commerciaux et des art. 164 ss et 176 ss CO pour les autres locaux (cf. Lachat, Commentaire romand, 2003, n. 3 ad art. 263 CO, p. 1373) ne soient réalisées. Par ailleurs, le tempérament à la consorité nécessaire des colocataires prévu à l'art. 70 al. 2 CPC, savoir que les actes accomplis en temps utile par l'un des consorts nécessaires valent pour ceux qui n'ont pas agi, à l'exception des déclarations de recours, ne peut entrer en ligne de compte. En effet, les consorts nécessaires doivent agir ensemble pour conclure une transaction judiciaire (Jeandin, op. cit., n. 11 ad art. 70 CPC, p. 231). L'absence de comparution personnelle des intimés A.G.________ et B.G.________ empêchait donc toute conciliation valable devant la Commission de conciliation, la procuration autorisant leur conseil à transiger pour eux se heurtant à l'art. 204 CPC, qui prohibe toute représentation en dehors des cas de l'art. 204 al. 3 CPC. Au vu de ces éléments, il y a lieu de considérer que le défaut de comparution personnelle des intimés A.G.________ et B.G.________ a</w:t>
      </w:r>
    </w:p>
    <w:p>
      <w:r>
        <w:t>- 9 - pour conséquence que la requête formée par l'ensemble des intimés devait être considérée comme retirée et la cause rayée du rôle. Le recours doit en conséquence être admis sur ce point.</w:t>
      </w:r>
    </w:p>
    <w:p>
      <w:r>
        <w:rPr>
          <w:b/>
        </w:rPr>
        <w:t>E. 4</w:t>
      </w:r>
    </w:p>
    <w:p>
      <w:r>
        <w:t>En conclusion, le recours doit être admis et le procès-verbal d'échec de conciliation ainsi que l'autorisation de procéder annulés, la cause étant renvoyée à l'autorité de première instance pour nouvelle décision dans le sens des considérants. Le présent arrêt peut être rendu sans frais (art. 107 al. 2 CPC). Vu les circonstances particulières du cas et dès lors que les intimés n'ont pas conclu formellement au rejet du recours, il y a lieu de ne pas allouer de dépens de deuxième instance en application de l'art. 107 al. 1 let. f CPC. Par ces motifs, la Chambre des recours civile du Tribunal cantonal, statuant à huis clos, prononce : I. Le recours est admis. II. Le procès-verbal d'échec et l'autorisation de procéder délivrés le 15 février 2012 par la Présidente de la Commission de conciliation en matière de baux à loyer du district de Lausanne sont annulés et la cause renvoyée à cette autorité pour nouvelle décision au sens des considérants. III. Les frais judiciaires de deuxième instance sont laissés à la charge de l'Etat.</w:t>
      </w:r>
    </w:p>
    <w:p>
      <w:r>
        <w:t>- 10 - IV. Il n'est pas alloué de dépens de deuxième instance. V. L'arrêt motivé est exécutoire. Le président : Le greffier : Du 8 juin 2012 Le dispositif de l'arrêt qui précède est communiqué par écrit aux intéressés. Le greffier : Du L'arrêt qui précède, dont la rédaction a été approuvée à huis clos, est notifié en expédition complète, par l'envoi de photocopies, à : - Me Adrian Schneider (pour Q.________ SA), - L.________ SA - Me Steve Kalbermatten, Fortuna, Compagnie d'assurance de protection juridique (pour A.G.________ et B.G.________). La Chambre des recours civile considère que la valeur litigieuse est supérieure à 15'000 francs.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