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HN11.038249 vom 9. Dezember 2011</w:t>
      </w:r>
    </w:p>
    <w:p>
      <w:r>
        <w:t>VD Tribunal cantonal, 2011-12-09, FR</w:t>
      </w:r>
    </w:p>
    <w:p>
      <w:r>
        <w:rPr>
          <w:b/>
        </w:rPr>
        <w:t xml:space="preserve">Quelle: </w:t>
      </w:r>
      <w:r>
        <w:t>https://mcp.opencaselaw.ch/entscheid/vd_gerichte_HN11.038249</w:t>
      </w:r>
    </w:p>
    <w:p>
      <w:r>
        <w:t>FR: VD_GERICHTE HN11.038249 du 9 décembre 2011</w:t>
      </w:r>
    </w:p>
    <w:p>
      <w:r>
        <w:t>IT: VD_GERICHTE HN11.038249 del 9 dicembre 2011</w:t>
      </w:r>
    </w:p>
    <w:p>
      <w:pPr>
        <w:pStyle w:val="Heading2"/>
      </w:pPr>
      <w:r>
        <w:t>Erwägungen</w:t>
      </w:r>
    </w:p>
    <w:p>
      <w:r>
        <w:rPr>
          <w:b/>
        </w:rPr>
        <w:t>E. 1</w:t>
      </w:r>
    </w:p>
    <w:p>
      <w:r>
        <w:t>Se conformant aux voies de droit qui lui avaient été indiquées, A.H.________ a fait appel de la décision rendue le 22 septembre 2011 par la Justice de paix du district de Nyon. Selon les normes applicables</w:t>
      </w:r>
    </w:p>
    <w:p>
      <w:r>
        <w:t>- 9 - cependant, la voie de l'appel contre la décision incriminée n'apparaît pas ouverte. En effet, les affaires gracieuses de droit fédéral relèvent de la compétence procédurale des cantons qui peuvent librement attribuer ce type d'affaires à une autorité administrative ou à un juge. Elles comprennent non seulement le droit de la dévolution successorale (Exposé des motifs relatif à la réforme de la juridiction civile – Codex 2010 volet "procédure civile", mai 2009 n. 187, p. 77) mais également d'autres institutions comme l'inventaire authentique en général, la consignation par l'autorité ou encore la mise à ban de l'art. 699 al. 1 CC (Exposé des motifs relatif à la réforme de la juridiction civile – Codex 2010 volet "procédure civile", mai 2009 n. 187, p. 77). Dans les limites de compétence ainsi fixées, le législateur cantonal vaudois a réservé le règlement des litiges gracieux au juge selon des normes de procédure qui ont été définies dans le Code de droit privé judiciaire du 12 janvier 2010 (CDPJ; RSV 211.01) ainsi qu'à titre supplétif, dans le Code de procédure civile du 19 décembre 2008 (CPC; RS 272). A ce propos, il a notamment été jugé, dans des procédures relatives au certificat d'héritier (CREC-CH 4 avril 2011/20), à un décompte de frais en rapport avec la dévolution d'une succession (CREC-CH 9 mai 2011/53) ou encore dans des procédures relatives à la restitution d'un délai de répudiation (CREC-CH 17 mars 2011/10), que les art. 104 à 109 CDPJ s'appliquaient par le renvoi de l'art. 111 CDPJ à ce type d'affaires et que, le CPC étant applicable à titre supplétif (art. 104 et 108 CDPJ), les litiges gracieux se réglaient selon la procédure sommaire de l'art. 248 let. e CPC et que seul le recours limité au droit de l'art. 109 al. 3 CDPJ était ouvert contre les décisions de cette nature, quelle que soit les valeurs litigieuses prises en considération (CREC 4 avril 2011/20). Il en résulte que, compte tenu de la nature gracieuse du litige qui oppose les parties et l'analogie qu'il présente avec les précédentes affaires traitées par la cour de céans, ces règles doivent s'appliquer à la décision incriminée.</w:t>
      </w:r>
    </w:p>
    <w:p>
      <w:r>
        <w:t>- 10 - L’appel interjeté doit donc être traité comme un recours au sens de l'art. 319 CPC.</w:t>
      </w:r>
    </w:p>
    <w:p>
      <w:r>
        <w:rPr>
          <w:b/>
        </w:rPr>
        <w:t>E. 2</w:t>
      </w:r>
    </w:p>
    <w:p>
      <w:r>
        <w:t>a) En vertu de l'art. 321 al. 1 CPC, le recours de l'art. 319 CPC doit être écrit, motivé et doit s'exercer dans un délai de dix jours pour les décisions rendues en procédure sommaire (art. 321 al. 2 CPC). Il doit correspondre à un intérêt du recourant (art. 59 al. 2 let. a CPC), intérêt qui doit être juridique et non de fait (ATF 127 III 429 c. 1b; ATF 120 II 7 c. 2a; ATF 118 II 108 c. 2c; JT 2001 III 13; ATF 107 II 504 c. 3; Poudret, Commentaire de la loi fédérale d'organisation judiciaire, vol. II, n.</w:t>
      </w:r>
    </w:p>
    <w:p>
      <w:r>
        <w:rPr>
          <w:b/>
        </w:rPr>
        <w:t>E. 5</w:t>
      </w:r>
    </w:p>
    <w:p>
      <w:r>
        <w:t>Il s'ensuit que le recours doit être rejeté et le jugement confirmé. Les frais judiciaires de deuxième instance, par 5'000 fr. (art. 74 al. 2 TFJC [Tarif des frais judiciaires civils du 28 septembre 2010, RSV 270.11.5]), doivent être mis à la charge de la recourante. Les co-intimés n'ayant pas été invités à se déterminer, il n'est pas alloué de dépens. Par ces motifs, la Chambre des recours civile du Tribunal cantonal, statuant à huis clos, en application de l'art. 322 al. 1 CPC, prononce : I. Le recours est rejeté. II. Le jugement est confirmé.</w:t>
      </w:r>
    </w:p>
    <w:p>
      <w:r>
        <w:t>- 14 - III. Les frais judiciaires de deuxième instance, par 5'000 fr. (cinq mille francs), sont mis à la charge de la recourante, A.H.________. IV. Il n'est pas alloué de dépens. V. l'arrêt motivé est exécutoire. Le président : La greffière : Du 12 décembre 2011 Le dispositif de l'arrêt qui précède est communiqué par écrit aux intéressés. La greffière :</w:t>
      </w:r>
    </w:p>
    <w:p>
      <w:r>
        <w:t>- 15 - Du L'arrêt qui précède, dont la rédaction a été approuvée à huis clos, est notifié en expédition complète, par l'envoi de photocopies, à : - Me Florian Chaudet (pour A.H.________), - Me Jean Arnaud De Mestral (pour F.H.________, B.W.________ et E.H.________), - Me Jean-Cédric Michel (pour R.________, X.________, C.W.________, A.W.________, Q.________, B.H.________, D.H.________, C.H.________, T.________, A.F.________ et B.F.________).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