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GH14.003280 vom 8. April 2014</w:t>
      </w:r>
    </w:p>
    <w:p>
      <w:r>
        <w:t>VD Tribunal cantonal, 2014-04-08, FR</w:t>
      </w:r>
    </w:p>
    <w:p>
      <w:r>
        <w:rPr>
          <w:b/>
        </w:rPr>
        <w:t xml:space="preserve">Quelle: </w:t>
      </w:r>
      <w:r>
        <w:t>https://mcp.opencaselaw.ch/entscheid/vd_gerichte_GH14.003280</w:t>
      </w:r>
    </w:p>
    <w:p>
      <w:r>
        <w:t>FR: VD_GERICHTE GH14.003280 du 8 avril 2014</w:t>
      </w:r>
    </w:p>
    <w:p>
      <w:r>
        <w:t>IT: VD_GERICHTE GH14.003280 del 8 aprile 2014</w:t>
      </w:r>
    </w:p>
    <w:p>
      <w:pPr>
        <w:pStyle w:val="Heading2"/>
      </w:pPr>
      <w:r>
        <w:t>Erwägungen</w:t>
      </w:r>
    </w:p>
    <w:p>
      <w:r>
        <w:rPr>
          <w:b/>
        </w:rPr>
        <w:t>E. 1</w:t>
      </w:r>
    </w:p>
    <w:p>
      <w:r>
        <w:t>Le recours est dirigé contre une décision de la justice de paix maintenant le retrait du droit de garde de D.J.________ sur ses filles mineures C.J.________ et A.J.________ en application de l’art. 310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w:t>
      </w:r>
    </w:p>
    <w:p>
      <w:r>
        <w:t>- 7 - maxime inquisitoire illimitée est applicable, de sorte que les restrictions posées par l'art. 317 CPC pour l'introduction de faits ou moyens de preuve nouveaux sont inapplicables (cf. JT 2011 III 43; CCUR 28 février 2013/56). b) En l’espèce, interjeté en temps utile par la mère des mineures concernées, partie à la procédure, le présent recours est recevable. Les pièces produites en deuxième instance sont également recevables. Le recours étant manifestement mal fondé au vu des considérations qui seront développées ci-après, il a été renoncé à consulter l'autorité de protection en application de l'art. 450d al. 1 CC (Reusser, Basler Kommentar, op. cit., nn. 6 ss ad art. 450d CC, pp. 657 et 658) et L.________ n’a pas été invité à se déterminer (art. 312 al. 1 CPC, applicable par renvoi de l'art. 450f CC).</w:t>
      </w:r>
    </w:p>
    <w:p>
      <w:r>
        <w:rPr>
          <w:b/>
        </w:rPr>
        <w:t>E. 2</w:t>
      </w:r>
    </w:p>
    <w:p>
      <w:r>
        <w:t>a) La recourante requiert l’audition de ses filles C.J.________ et A.J.________. aa) L’audition des enfants découle directement de l’art. 12 CDE (Convention des Nations Unies du 20 novembre 1989 relative aux droits de l’enfant, RS 0.107; cf. ATF 124 III 90, JT 1998 I 272). Cette norme conventionnelle ne consacre toutefois pas de prérogatives plus larges que celles résultant de l’art. 314a al. 1 CC. En vertu de cette disposition, avant d’ordonner une mesure de protection de l’enfant, l’autorité de protection ou le tiers qui en a été chargé entend l’enfant personnellement et de manière appropriée, à moins que son âge ou d’autres justes motifs ne s’y opposent.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w:t>
      </w:r>
    </w:p>
    <w:p>
      <w:r>
        <w:t>- 8 - compétente elle-même; en cas de circonstances particulières, elle peut l’être par un spécialiste de l’enfance, par exemple un pédopsychiatre ou le collaborateur d’un service de protection de la jeunesse (ATF 133 III 553 c. 4, JT 2008 I 244; ATF 127 III 295 c. 2a et 2b et les références citées; TF 5C.19/2002 du 15 octobre 2002 c. 2.1, publié in La pratique du droit de la famille [FamPra.ch] 2003 p. 445).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(Bodenmann/Rumo-Jungo, Die Anhörung von Kindern aus rechtlicher und psychologischer Sicht, in FamPra.ch 2003 pp. 22 ss, spéc. p. 31; Breitschmid, Basler Kommentar, 4e éd., 2010, n. 4 ss ad art. 144 aCC, pp. 933 ss). Le Tribunal fédéral a également admis que, lorsque l’enfant a déjà été entendu par un tiers, en général dans le cadre d’une expertise, le juge peut renoncer à l’entendre une nouvelle fois si une audition répétée représente pour l’enfant une charge insupportable – par exemple en cas de conflit de loyauté aigu –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 4 et les références citées). Conformément à l’art. 314a al. 2 CC, seuls les résultats de l’audition qui sont nécessaires à la décision sont consignés au procès-verbal. ab) C.J.________ et A.J.________ ont été entendues par les experts dans le cadre du rapport déposé le 11 juillet 2013 dans la présente procédure. Ce document indique quelles sont leurs déclarations et leurs opinions quant à la question du droit de garde. Par ailleurs, elles ont également été entendues par les assistants sociaux du SPJ. Dans ces</w:t>
      </w:r>
    </w:p>
    <w:p>
      <w:r>
        <w:t>- 9 - conditions, une audition supplémentaire ne serait d’aucune utilité et même contraire à leurs intérêts, au regard notamment du conflit de loyauté dans lequel elles se trouvent. b) La recourante requiert également l’audition de divers témoins ainsi qu’un complément d’expertise. ba) Garanti à l'art. 29 al. 2 Cst. (Constitution fédérale de la Confédération suisse du 18 avril 1999,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135 lI 286 c. 5.1; ATF 129 lI 497 c. 2.2).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critiquable (ATF 136 I 229 c. 5.3; ATF 131 I 153 c. 3; ATF 125 I 127 c. 6c/cc in fine; ATF 124 I 208 c. 4a). bb) Les éléments au dossier sont suffisants pour permettre à la Cour de céans de statuer en toute connaissance de cause. Par ailleurs, il n’y a pas lieu d’ordonner un complément d’expertise, celle-ci étant complète, claire et convaincante. Elle ne comporte au surplus aucune contradiction. En outre, la recourante n’explique pas sur quels éléments le rapport devrait être complété.</w:t>
      </w:r>
    </w:p>
    <w:p>
      <w:r>
        <w:t>- 10 - c) Les réquisitions de preuve de la recourante doivent par conséquent être rejetées.</w:t>
      </w:r>
    </w:p>
    <w:p>
      <w:r>
        <w:rPr>
          <w:b/>
        </w:rPr>
        <w:t>E. 3</w:t>
      </w:r>
    </w:p>
    <w:p>
      <w:r>
        <w:t>La recourante conteste le retrait de son droit de garde sur ses filles. Elle considère que l’affirmation selon laquelle elle préfère rechercher les aspects négatifs de ses filles et de leur père est erronée et ne saurait justifier la mesure prononcée. Elle estime également qu’elle est disproportionnée et inopportune. 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5e éd., 2014, n. 462, pp. 308 et 309). Lorsqu'elle ne peut éviter par une mesure moins grave que le développement de l'enfant ne soit compromis, l'autorité de protection de l’enfant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w:t>
      </w:r>
    </w:p>
    <w:p>
      <w:r>
        <w:t>- 11 - suisse de la filiation et de la famille, 4e éd., Berne 1998, adaptation française par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b) En l’espèce, depuis la convention du 10 septembre 2012, le large droit de visite octroyé à la recourante équivaut, dans les faits, à une garde partagée entre les parents. Or, selon les experts, si ce système permet à la recourante de garder un contrôle appréciable mais exagéré en termes de scolarité et au père de vaquer à ses occupations personnelles, il oblige néanmoins à créer des artefacts (mandat de curatelle au père) et cautionne des fonctionnements parentaux persistants et inadéquats en raison de l’utilisation de leurs filles pour régler leurs propres comptes, ce</w:t>
      </w:r>
    </w:p>
    <w:p>
      <w:r>
        <w:t>- 12 - qui peut justifier le retrait du droit de garde. Les experts relèvent qu’actuellement, les dysfonctionnements des adultes persistent et que le système de la garde alternée favorise les plaintes parentales réciproques et contribue à un certain mal-être chez les filles. C.J.________ et A.J.________ se trouvent dans un conflit de loyauté. Il ne leur est pas possible de nouer de liens avec le compagnon de leur mère sans avoir l’impression de trahir leur père. Elles ne peuvent pas réussir scolairement sans que leur mère ne comprenne cela comme une preuve de l’incompétence paternelle et de son inutilité personnelle; ainsi, la recourante ne peut reconnaître que ses filles ne présentent actuellement pas de difficultés au niveau scolaire. Dans son rapport du 21 octobre 2013, le SPJ préconise une modification de ce système de droit de garde partagée dès lors que la communication entre les parents reste impossible et qu’il sert surtout aux besoins de ces derniers, notamment de contrôle quelque fois appréciable, mais démesuré, pour l’un et d’avoir du temps libre pour l’autre, et non aux besoins des enfants. En outre, il résulte de l’expertise que la recourante a un caractère dénigrant envers ses filles. Ainsi, elle peine à reconnaître leurs compétences. Elle semble adopter une vision biaisée de leur niveau de performances scolaires, se focalisant sur des manquements ou des faits épisodiques pour souligner l’inadéquation paternelle et ainsi trianguler C.J.________ et A.J.________ dans le conflit opposant les parents. Sa vision biaisée semble avoir pour fonction de maintenir son utilité à leur égard dans leur instruction pédagogique. Il convient également de souligner que les difficultés avec le compagnon de la recourante ne sont pas résolues. Ainsi, il résulte de l’expertise du 11 juillet 2013 que ce dernier a infligé des coups aux enfants. C.J.________ a du reste encore exprimé des craintes à son égard. Par ailleurs, lors de l’entretien avec les experts, O.________ s’est rapidement emporté lorsqu’il était question de l’intimé, parlant de lui en</w:t>
      </w:r>
    </w:p>
    <w:p>
      <w:r>
        <w:t>- 13 - termes orduriers et le tenant pour unique responsable des performances scolaires en déclin des filles, étant relevé que la recourante a pris peu de place au cours de l’entretien. De plus, le couple offre un cadre rigide qui limite fortement C.J.________ et A.J.________, le beau-père semblant se situer en premier plan du cadre éducatif, bien que la mère affirme le contraire. On doit enfin relever que les filles vivent chez leur père depuis la séparation de leurs parents, qui remonte à 2009. Par ailleurs, il ressort de l’expertise que la relation de C.J.________ avec sa mère et le compagnon de celle-ci est encore quelque peu conflictuelle, bien que la situation se soit détendue depuis quelques mois, qu’elle se positionne en demandant de pouvoir rester chez son père, hormis un week-end sur deux où elle serait disposée à aller chez sa mère, et qu’elle envisagerait une garde partagée si sa mère habitait seule et lui laissait plus d’autonomie tout en assurant une certaine autorité personnellement. A.J.________ pour sa part préfère vivre chez son père tout en précisant que la situation serait différente si sa mère vivait seule; dans ce contexte et si sa mère lui laissait plus d’autonomie tout en assurant une certaine autorité personnellement, sans l’intervention d’O.________, elle ne serait pas opposée à une garde partagée. Il résulte de ce qui précède que la situation de la mère ne s’est pas suffisamment améliorée pour permettre un retour des enfants et que celui-ci n’est pas dans leurs intérêts. La garde de C.J.________ et A.J.________ ne saurait par conséquent être restituée à la recourante.</w:t>
      </w:r>
    </w:p>
    <w:p>
      <w:r>
        <w:rPr>
          <w:b/>
        </w:rPr>
        <w:t>E. 4</w:t>
      </w:r>
    </w:p>
    <w:p>
      <w:r>
        <w:t>En conclusion, le recours interjeté par D.J.________ doit être rejeté et la décision entreprise confirmée. Le présent arrêt peut être rendu sans frais judiciaires (art. 74a al. 4 TFJC [Tarif du 28 septembre 2010 des frais judiciaires civils, RSV 270.11.5]).</w:t>
      </w:r>
    </w:p>
    <w:p>
      <w:r>
        <w:t>- 14 - Il n’y a pas lieu d’allouer de dépens de deuxième instance, l’intimé n’ayant pas été invité à se déterminer. Par ces motifs, la Chambre des curatelles du Tribunal cantonal, statuant à huis clos, prononce : I. Le recours est rejeté. II. La décision est confirmée. III. L’arrêt est rendu sans frais judiciaires. IV. L'arrêt motivé est exécutoire. La présidente : La greffière : Du 8 avril 2014 Le dispositif de l'arrêt qui précède est communiqué par écrit aux intéressés. La greffière : Du</w:t>
      </w:r>
    </w:p>
    <w:p>
      <w:r>
        <w:t>- 15 - L'arrêt qui précède, dont la rédaction a été approuvée à huis clos, est notifié à : - Me Franck Ammann (pour D.J.________), - Me Julsaint Buonomo Anne-Luce (pour L.________), - Service de protection de la jeunesse, Unité d’appui juridique,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