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GE06.040156 vom 27. Oktober 2014</w:t>
      </w:r>
    </w:p>
    <w:p>
      <w:r>
        <w:t>VD Tribunal cantonal, 2014-10-27, FR</w:t>
      </w:r>
    </w:p>
    <w:p>
      <w:r>
        <w:rPr>
          <w:b/>
        </w:rPr>
        <w:t xml:space="preserve">Quelle: </w:t>
      </w:r>
      <w:r>
        <w:t>https://mcp.opencaselaw.ch/entscheid/vd_gerichte_GE06.040156</w:t>
      </w:r>
    </w:p>
    <w:p>
      <w:r>
        <w:t>FR: VD_GERICHTE GE06.040156 du 27 octobre 2014</w:t>
      </w:r>
    </w:p>
    <w:p>
      <w:r>
        <w:t>IT: VD_GERICHTE GE06.040156 del 27 ottobre 2014</w:t>
      </w:r>
    </w:p>
    <w:p>
      <w:pPr>
        <w:pStyle w:val="Heading2"/>
      </w:pPr>
      <w:r>
        <w:t>Volltext</w:t>
      </w:r>
    </w:p>
    <w:p>
      <w:r>
        <w:t>TRIBUNAL CANTONAL GE06.040156-141681 253 CHAMBRE DE S CURATELLE S ___________________________________ Arrêt du 27 octobre 2014 _____________________ Présidence de Mme KÜHNLEIN, présidente Juges : MM. Battistolo et Perrot Greffière : Mme Boryszewski ***** Art. 276, 450 ss CC et 38 LVPAE La Chambre des curatelles du Tribunal cantonal prend séance pour statuer sur le recours interjeté par A.B.________ et D.________, tous deux à St-Maurice, contre la décision rendue le 6 mai 2014 par la Justice de paix du district de Lausanne dans la cause concernant l'enfant B.B.________. Délibérant à huis clos, la cour voit : 252</w:t>
      </w:r>
    </w:p>
    <w:p>
      <w:r>
        <w:t>- 2 - En fait : A. Par décision du 6 mai 2014, envoyée pour notification le 27 août 2014, la Justice de paix du district de Lausanne (ci-après : justice de paix) a levé la curatelle au sens des art. 308 al. 2 et 309 al. 1 CC instituée en faveur de B.B.________, né le [...] 2005 (I), relevé de son mandat de curateur Me Z.________ (Il), alloué à Me Z.________ une indemnité d'un montant de 636 fr. 35, débours compris, pour son activité allant du 27 février 2007 au 24 avril 2014 (III) et mis les frais de la cause par 836 fr. 35, montant comprenant l’indemnité allouée au curateur, à la charge de A.B.________ et D.________ chacun pour une moitié (IV). En droit, les premiers juges ont notamment considéré que l'indemnité du curateur devait être supportée par les deux parents, à raison d’une moitié chacun. B. Par acte motivé du 14 septembre 2014, A.B.________ et D.________ ont recouru contre cette décision, concluant à ce que l’indemnité allouée au curateur soit réduite à un montant de 275 fr. 75. C. La cour retient les faits suivants : Par décision du 3 octobre 2006, la justice de paix a notamment institué une curatelle au sens des art. 308 al. 2 et 309 al. 1 CC en faveur de B.B.________, né le [...] 2005 (I) et désigné Me Z.________ en qualité de curateur de l’enfant prénommé, avec notamment pour mission d’établir la filiation paternelle en recourant si nécessaire à l’action en paternité (II). Le 29 juin 2009, D.________ a reconnu son fils, B.B.________. Par courrier du 17 septembre 2013 adressé au juge de paix, Me Z.________ a expliqué qu’il avait rencontré au mois de mars 2007 son</w:t>
      </w:r>
    </w:p>
    <w:p>
      <w:r>
        <w:t>- 3 - pupille, A.B.________ et D.________ et que ce dernier lui avait exposé être le père de l’enfant, qu'il contribuait régulièrement à son entretien dans la mesure où il faisait ménage commun avec sa mère, qu'ils avaient dès lors convenu que D.________ lui remettrait les documents nécessaires en vue de la reconnaissance de l’enfant, que l’obtention de ces documents était toutefois difficile dans la mesure où il était de nationalité portugaise, qu'il a eu ensuite plusieurs échanges de correspondance avec le couple, que le 21 août 2007, il a adressé une déclaration de reconnaissance de paternité à D.________, que, ne l'ayant jamais reçue en retour, le 19 mars 2008, il l’a mis en demeure de la lui retourner, faute de quoi il ouvrirait action contre lui en vue d’établir sa paternité, que ce dernier n’a pas retiré ce pli contenant la mise en demeure, que parallèlement, les courriers et appels téléphonique à A.B.________ sont restés sans réponse et qu'elle et son enfant ont déménagé à St-Maurice en 2008. Par décision du 31 mars 2014, l’Autorité de protection du district de St-Maurice a refusé le transfert de for de la mesure de curatelle de représentation instituée en faveur de B.B.________ par décision du 3 octobre 2006. Par courrier du 24 avril 2014, Me Z.________ a adressé la liste de ses opérations à la justice de paix; celle-ci indiquait quatre heures de travail, correspondant à 14 échanges de correspondance avec la justice de paix, D.________ et A.B.________, une séance avec ces derniers le 6 mars 2007, divers téléphones et l’examen du dossier. Le 30 avril 2014, Me Z.________ a requis d’être relevé de son mandat de curateur. En d roit : 1. a) Le recours est dirigé contre une décision de la justice de paix mettant l'indemnité du curateur d'un montant de 636 fr. 35 à la charge des parents, chacun par moitié.</w:t>
      </w:r>
    </w:p>
    <w:p>
      <w:r>
        <w:t>- 4 -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c) En l’espèce, le recours, motivé et interjeté en temps utile par les parents du mineur concerné, chargés des frais judiciaires, est recevable. Le recours étant manifestement mal fondé au vu des considérations qui seront développées ci- après, le curateur n’a pas été invité à se déterminer (art. 312 al. 1 CPC [Code de procédure civile du 19 décembre 2008, RS 272], applicable par renvoi de l’art. 450f CC) et il a été renoncé à consulter l’autorité de protection (art. 450d al. 1 CC; Reusser, Basler Kommentar, op. cit., nn. 6 ss ad art. 450d CC, pp. 657 s.). 2. a) Les recourants contestent le montant de l’indemnité alloué au curateur, soutenant n'avoir rencontré ce dernier, alors qu'il était encore avocat-stagiaire, qu’une seule fois en 2005 lors d’un entretien qui n'aurait duré qu’une heure et que, dès lors, l’indemnité devrait être réduite à un montant de 275 fr. 75 qui correspond à une heure d’entretien (110 fr.), une heure de téléphones (110 fr.) et des débours (50 fr. 75).</w:t>
      </w:r>
    </w:p>
    <w:p>
      <w:r>
        <w:t>- 5 - b) Aux termes de l’art. 276 al. 1 CC, les père et mère doivent pourvoir à l’entretien de l’enfant et assumer, par conséquent, les frais de son éducation, de sa formation et des mesures prises pour le protéger.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1 CC (Meier/Stettler, Droit de la filiation, 5e éd., 2014, n. 1065, pp. 703 s.; ATF 110 II 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(JT 2003 III 40 c. 5a et les réf. cit.).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c) En l'espèce, seule la quotité de l'indemnité du curateur est contestée par les recourants. Celui-ci a annoncé quatre heures de travail, dont deux effectuées comme avocat-stagiaire, au tarif de 110 fr. de l'heure et deux comme avocat, au tarif de 180 fr. de l'heure. Si D.________ a annoncé, dès le premier entretien, qu'il était prêt à reconnaître l'enfant et qu'il faisait au surplus ménage commun avec la mère, la reconnaissance de l'enfant s'est avérée difficile en raison de la difficulté</w:t>
      </w:r>
    </w:p>
    <w:p>
      <w:r>
        <w:t>- 6 - d'obtenir les papiers nécessaires portugais. De surcroît, plusieurs courriers, dont l'un contenant une déclaration de reconnaissance de paternité, sont restés sans réponse. Il en va de même pour les courriers et les téléphones à la mère. Ces difficultés s'expliquent notamment par le fait que les parents ont déménagé en Valais dès 2008. Ayant omis d'en informer le curateur, celui-ci ne saurait se voir reprocher d'avoir tenté de poursuivre la mission pour laquelle il a été désigné. Par conséquent, au regard des explications qui précèdent, les quatre heures de travail annoncées par le curateur ne prêtent pas le flanc à la critique. 3. En conclusion, le recours doit être rejeté et la décision entreprise confirmée. Le présent arrêt peut être rendu sans frais judiciaires (art. 74a al. 4 TFJC). Par ces motifs, la Chambre des curatelles du Tribunal cantonal, statuant à huis clos, prononce: I. Le recours est rejeté. II. La décision est confirmée. III. L’arrêt, rendu sans frais judiciaires, est exécutoire. La présidente : La greffière : Du</w:t>
      </w:r>
    </w:p>
    <w:p>
      <w:r>
        <w:t>- 7 - L'arrêt qui précède, dont la rédaction a été approuvée à huis clos, est notifié à : - Mme A.B.________, - M. D.________, - Me Z.________, et communiqué à : - Justice de paix du district de Lausanne, par l'envoi de photocopies.</w:t>
      </w:r>
    </w:p>
    <w:p>
      <w:r>
        <w:t>- 8 -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