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GD18.033140 vom 1. September 2020</w:t>
      </w:r>
    </w:p>
    <w:p>
      <w:r>
        <w:t>VD Tribunal cantonal, 2020-09-01, FR</w:t>
      </w:r>
    </w:p>
    <w:p>
      <w:r>
        <w:rPr>
          <w:b/>
        </w:rPr>
        <w:t xml:space="preserve">Quelle: </w:t>
      </w:r>
      <w:r>
        <w:t>https://mcp.opencaselaw.ch/entscheid/vd_gerichte_GD18.033140</w:t>
      </w:r>
    </w:p>
    <w:p>
      <w:r>
        <w:t>FR: VD_GERICHTE GD18.033140 du 1 septembre 2020</w:t>
      </w:r>
    </w:p>
    <w:p>
      <w:r>
        <w:t>IT: VD_GERICHTE GD18.033140 del 1 settembre 2020</w:t>
      </w:r>
    </w:p>
    <w:p>
      <w:pPr>
        <w:pStyle w:val="Heading2"/>
      </w:pPr>
      <w:r>
        <w:t>Erwägungen</w:t>
      </w:r>
    </w:p>
    <w:p>
      <w:r>
        <w:rPr>
          <w:b/>
        </w:rPr>
        <w:t>E. 18</w:t>
      </w:r>
    </w:p>
    <w:p>
      <w:r>
        <w:t>février 2020, E.B.________ avait déposé sa fille au domicile d’O.V.________ en présence de B.V.________ pendant cinq heures. Elle a déclaré que le lendemain, elle avait récupéré sa fille avec des spasmes et des crampes au ventre car elle était restée assise pendant les cinq heures, n’osant pas bouger par crainte d’être attaquée par B.V.________. Par courrier du 20 mai 2020, E.B.________ a informé le juge de paix qu’il n’avait plus vu sa fille A.B.________ depuis trois mois, P.________ refusant qu’il exerce son droit de visite, ce qui nuisait au bien de l’enfant. Par lettre du 4 juin 2020, E.B.________ a déclaré maintenir ses conclusions relatives au droit de visite, affirmant que l’intégrité corporelle de sa fille n’avait jamais été mise en danger lorsqu’elle se trouvait sous sa surveillance. En d roit :</w:t>
      </w:r>
    </w:p>
    <w:p>
      <w:r>
        <w:t>- 10 - 1. Le recours est dirigé contre une ordonnance de mesures provisionnelles du juge de paix rejetant la requête d’une mère tendant à ce qu’interdiction soit faite à la compagne du père et à son fils d’être présents lors du droit de visite de celui-ci sur sa fille mineure. 1.1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w:t>
      </w:r>
    </w:p>
    <w:p>
      <w:r>
        <w:rPr>
          <w:b/>
        </w:rPr>
        <w:t>E. 19</w:t>
      </w:r>
    </w:p>
    <w:p>
      <w:r>
        <w:t>octobre 2007 consid. 2, in La pratique du droit de la famille [FamPra.ch] 2008 p. 172). Il paraît peu judicieux de subordonner le droit de visite à l’absence de mise en contact de l’enfant avec le nouveau compagnon ou la nouvelle compagne du parent bénéficiaire, car la recomposition familiale consécutive à la séparation des parents est un phénomène aussi fréquent que naturel. Le plus souvent, ce n’est pas véritablement l’intérêt de l’enfant qui est ici prioritairement en jeu, mais les difficultés que rencontre le parent gardien à gérer les frustrations affectives, voire l’amertume, engendrées par la dissolution du couple et l’engagement du parent non gardien dans une autre relation. Pour que l’enfant puisse trouver une source d’enrichissement dans ces contacts, il importe que le parent gardien conserve la réserve nécessaire dans les jugements qu’il porte sur la nouvelle relation. Il convient bien entendu de réserver les cas dans lesquels celle-ci évoluerait dans un contexte malsain et propre à perturber l’équilibre psychologique de l’enfant, tel le milieu de délinquance. On retombe ici dans le champ d’application de l’éventail des mesures prévues par l’art. 274 al. 2 CC (Meier/Stettler, op. cit., n. 1021, pp. 672 et 673 et références citées).</w:t>
      </w:r>
    </w:p>
    <w:p>
      <w:r>
        <w:t>- 18 - 3.1.2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et les références citées, p. 903). 3.2 Le premier juge a considéré que la mère n’avait pas rendu vraisemblable l’existence de circonstances nouvelles justifiant la modification de l’ordonnance de mesures provisionnelles du 8 novembre 2019 s’agissant des contacts entre A.B.________ et la compagne de son père. L’appréciation de ce magistrat doit être confirmée. En effet, aucun élément nouveau ne permet de retenir que A.B.________ serait en danger en présence d’O.V.________. De plus, dans son rapport du 28 février 2020, le SPJ a estimé que le juge de paix s’était déjà clairement prononcé sur la question de l’interdiction des contacts entre A.B.________ et la compagne de son père par ordonnance de mesures provisionnelles du 8 novembre 2019. Il a en outre relevé que la consolidation du lien père-fille était importante dans l’intérêt de cette dernière et a préconisé le maintien du cadre de visite actuel jusqu’au dépôt du rapport d’évaluation par l’UEMS.</w:t>
      </w:r>
    </w:p>
    <w:p>
      <w:r>
        <w:t>- 19 - S’agissant des contacts entre B.V.________ et A.B.________ des 1er, 16, 17 et 18 février 2020 et de la lettre d’E.B.________ du 24 février 2020 dans laquelle il déclare que de telles rencontres peuvent se reproduire compte tenu de la proximité de son domicile et de celui de sa compagne, il convient de rappeler au père l’interdiction prononcée dans l’ordonnance de mesures provisionnelles du 8 novembre 2019 et de le rendre attentif au fait qu’en cas de non-respect de celle-ci, une restriction des relations personnelles et un droit de visite par l’intermédiaire de Point Rencontre devront être envisagés. 4. En conclusion, le recours de P.________ doit être rejeté et l’ordonnance entreprise confirmée. Les frais judiciaires de deuxième instance, arrêtés à 600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II. L’ordonnance est confirmée. III. Les frais judiciaires de deuxième instance, arrêtés à 600 fr. (six cents francs), sont mis à la charge de la recourante P.________.</w:t>
      </w:r>
    </w:p>
    <w:p>
      <w:r>
        <w:t>- 20 - IV. L'arrêt est exécutoire. Le président : La greffière : Du L'arrêt qui précède, dont la rédaction a été approuvée à huis clos, est notifié à : - Me Thomas Büchli (pour P.________), - Me Elie Elkaim (pour E.B.________), - I.________, assistant social auprès du Service de protection de la jeunesse, et communiqué à : - Mme la Juge de paix du district de l’Ouest lausannois, - Service de protection de la jeunesse, Unité d’appui juridique, - Service de protection de la jeunesse, Unité évaluation et missions spécifiques, par l'envoi de photocopies.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