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GC17.031044 vom 27. September 2017</w:t>
      </w:r>
    </w:p>
    <w:p>
      <w:r>
        <w:t>VD Tribunal cantonal, 2017-09-27, FR</w:t>
      </w:r>
    </w:p>
    <w:p>
      <w:r>
        <w:rPr>
          <w:b/>
        </w:rPr>
        <w:t xml:space="preserve">Quelle: </w:t>
      </w:r>
      <w:r>
        <w:t>https://mcp.opencaselaw.ch/entscheid/vd_gerichte_GC17.031044</w:t>
      </w:r>
    </w:p>
    <w:p>
      <w:r>
        <w:t>FR: VD_GERICHTE GC17.031044 du 27 septembre 2017</w:t>
      </w:r>
    </w:p>
    <w:p>
      <w:r>
        <w:t>IT: VD_GERICHTE GC17.031044 del 27 settembre 2017</w:t>
      </w:r>
    </w:p>
    <w:p>
      <w:pPr>
        <w:pStyle w:val="Heading2"/>
      </w:pPr>
      <w:r>
        <w:t>Erwägungen</w:t>
      </w:r>
    </w:p>
    <w:p>
      <w:r>
        <w:rPr>
          <w:b/>
        </w:rPr>
        <w:t>E. 1</w:t>
      </w:r>
    </w:p>
    <w:p>
      <w:r>
        <w:t>Le recours est dirigé contre une ordonnance de mesures provisionnelles du juge de paix mettant les frais d'intervention du SPJ à la charge des parents, solidairement entre eux.</w:t>
      </w:r>
    </w:p>
    <w:p>
      <w:r>
        <w:rPr>
          <w:b/>
        </w:rPr>
        <w:t>E. 1.1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(avec modèles), 2017, n. 5.77, p. 180). Elle jouit</w:t>
      </w:r>
    </w:p>
    <w:p>
      <w:r>
        <w:t>- 5 - d’un plein pouvoir de cognition pour tous les motifs de recours prévus par la loi, à savoir la violation du droit (ch. 1), la constatation fausse ou incomplète des faits pertinents (ch. 2) et l’inopportunité de la décision (ch. 3) (Meier, Commentaire du droit de la famille [CommFam], Protection de l’adulte, Berne 2013, n. 7 ad art. 450a CC et les références citées, p. 922).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5.84, p. 182).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 père des mineurs concernés, partie à la procédure, le présent recours est</w:t>
      </w:r>
    </w:p>
    <w:p>
      <w:r>
        <w:t>- 6 - recevable. Il en va de même des pièces produites en deuxième instance, si tant est qu’elles ne figurent pas déjà au dossier. Interpellé, le juge de paix a, par courrier du 28 août 2017, informé qu’il renonçait à se déterminer, se référant intégralement au contenu de l’ordonnance entreprise.</w:t>
      </w:r>
    </w:p>
    <w:p>
      <w:r>
        <w:rPr>
          <w:b/>
        </w:rPr>
        <w:t>E. 2</w:t>
      </w:r>
    </w:p>
    <w:p>
      <w:r>
        <w:t>Le recourant affirme que son bénéfice mensuel avant impôt s’élève à 351 fr. 30 et qu’il n’est donc pas en mesure de prendre en charge la rémunération du curateur ni les frais d’intervention du SPJ dans le cadre de la curatelle de surveillance des relations personnelles instaurée au bénéfice de ses enfants sans s’exposer ou exposer sa famille à la privation de choses essentielles à leur existence.</w:t>
      </w:r>
    </w:p>
    <w:p>
      <w:r>
        <w:rPr>
          <w:b/>
        </w:rPr>
        <w:t>E. 2.1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Guide pratique COPMA, n. 1.102, p. 29 et n. 6.52, p. 208 ; Meier/Stettler, Droit de la filiation, 5e éd., 2014, n. 1065, pp. 703 et 704).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w:t>
      </w:r>
    </w:p>
    <w:p>
      <w:r>
        <w:t>- 7 - influer sur le sort des frais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Selon l’art. 12 LVPAE, les dispositions générales (art. 1 à 196) et, par analogie, celles relatives à la procédure sommaire (art. 248 à 270) du CPC sont applicables à titre complémentaire à la présente loi en matière de procédure d’intervention des autorités de protection de l’adulte et de l’enfant. L’art. 112 al. 1 CPC prévoit que le tribunal peut accorder un sursis ou, lorsque la partie est durablement dépourvue de moyens, renoncer aux créances en frais judiciaires. L'art. 22 al. 3 LProMin prévoit également que les frais découlant d'un mandat de curatelle pour la surveillance des relations personnelles sont en principe mis à la charge des parents. Selon l'art. 25 al. 1 RLProMin (Règlement d’application de la loi du 4 mai 2004 sur la protection des mineurs du 5 avril 2017 ; RSV 850.41.1), l'autorité judiciaire ou l’autorité de protection de l’enfant fixe la répartition du paiement de l'émolument entre les parents. L’art. 4 al. 2 in fine RCur (Règlement du 18 décembre 2012 sur la rémunération des curateurs ; RSV 211.255.2) prévoit qu’est réputée indigente toute personne concernée dont la fortune nette est inférieure à 5'000 francs.</w:t>
      </w:r>
    </w:p>
    <w:p>
      <w:r>
        <w:rPr>
          <w:b/>
        </w:rPr>
        <w:t>E. 2.2</w:t>
      </w:r>
    </w:p>
    <w:p>
      <w:r>
        <w:t>Le recourant ne conteste pas que les frais liés aux mesures de protection de l’enfant, qui relèvent de l’obligation générale d’entretien, incombent aux deux parents. Il invoque uniquement son indigence et ne</w:t>
      </w:r>
    </w:p>
    <w:p>
      <w:r>
        <w:t>- 8 - fait valoir aucun réel motif qui justifierait une répartition différente des coûts entre les parents. La seule question litigieuse, soit celle de savoir si le recourant est indigent ou durablement dépourvu de moyens, est en l’état prématurée. En effet, d’une part, on ne connaît pas encore le montant des frais liés à la mesure instituée et, d’autre part, il est évident que d’ici là, à savoir au moment de la fixation des frais, la situation financière du recourant aura évolué. Partant, on ne saurait trancher la question de l’indigence, qui ne fait pas l’objet de la présente procédure. Le recours doit par conséquent être rejeté dans la mesure où il est recevable.</w:t>
      </w:r>
    </w:p>
    <w:p>
      <w:r>
        <w:rPr>
          <w:b/>
        </w:rPr>
        <w:t>E. 3.1</w:t>
      </w:r>
    </w:p>
    <w:p>
      <w:r>
        <w:t>En conclusion, le recours de A.C.________ doit être rejeté dans la mesure où il est recevable et l’ordonnance entreprise confirmée.</w:t>
      </w:r>
    </w:p>
    <w:p>
      <w:r>
        <w:rPr>
          <w:b/>
        </w:rPr>
        <w:t>E. 3.2</w:t>
      </w:r>
    </w:p>
    <w:p>
      <w:r>
        <w:t>Le recourant a requis l’assistance judiciaire. Selon l’art. 117 CPC,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Vu l’issue de la procédure de recours, la requête d’assistance judiciaire de A.C.________ doit être rejetée.</w:t>
      </w:r>
    </w:p>
    <w:p>
      <w:r>
        <w:rPr>
          <w:b/>
        </w:rPr>
        <w:t>E. 3.3</w:t>
      </w:r>
    </w:p>
    <w:p>
      <w:r>
        <w:t>Le présent arrêt peut être rendu sans frais judiciaires (art. 74a al. 4 TFJC [Tarif du 28 septembre 2010 des frais judiciaires civils ; RSV 270.11.5]).</w:t>
      </w:r>
    </w:p>
    <w:p>
      <w:r>
        <w:t>- 9 - Par ces motifs, la Chambre des curatelles du Tribunal cantonal, statuant à huis clos, prononce : I. Le recours est rejeté dans la mesure où il est recevable. II. L’ordonnance est confirmée. III. La requête d’assistance judiciaire est rejetée. IV. L'arrêt est rendu sans frais judiciaires de deuxième instance. V. L’arrêt est exécutoire. La présidente : La greffière : Du L'arrêt qui précède, dont la rédaction a été approuvée à huis clos, est notifié à : - Me Geneviève Chapuis Emery (pour A.C.________), - Me Guy Longchamp (pour L.________), - Service de protection de la Jeunesse, ORPM du Nord, et communiqué à : - Mme la Juge de paix du district de la Broye-Vully, - Service de protection de la Jeunesse, Unité d’appui juridique, par l'envoi de photocopies.</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