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FZ19.034592 vom 30. Dezember 2019</w:t>
      </w:r>
    </w:p>
    <w:p>
      <w:r>
        <w:t>VD Tribunal cantonal, 2019-12-30, FR</w:t>
      </w:r>
    </w:p>
    <w:p>
      <w:r>
        <w:rPr>
          <w:b/>
        </w:rPr>
        <w:t xml:space="preserve">Quelle: </w:t>
      </w:r>
      <w:r>
        <w:t>https://mcp.opencaselaw.ch/entscheid/vd_gerichte_FZ19.034592</w:t>
      </w:r>
    </w:p>
    <w:p>
      <w:r>
        <w:t>FR: VD_GERICHTE FZ19.034592 du 30 décembre 2019</w:t>
      </w:r>
    </w:p>
    <w:p>
      <w:r>
        <w:t>IT: VD_GERICHTE FZ19.034592 del 30 dicembre 2019</w:t>
      </w:r>
    </w:p>
    <w:p>
      <w:pPr>
        <w:pStyle w:val="Heading2"/>
      </w:pPr>
      <w:r>
        <w:t>Erwägungen</w:t>
      </w:r>
    </w:p>
    <w:p>
      <w:r>
        <w:rPr>
          <w:b/>
        </w:rPr>
        <w:t>E. 12</w:t>
      </w:r>
    </w:p>
    <w:p>
      <w:r>
        <w:t>juin 2015 consid. 2.3 ; TF 5A_897/2015 du 1er février 2016 consid. 3.2.2 ; TF 5A_741/2016 consid. 3.1.2 précité ; Colombini, op. cit., n. 15.3.1 ad art. 53 CPC). Une réparation du vice procédural peut également se justifier, même en présence d’un vice grave, lorsque le renvoi à l’autorité</w:t>
      </w:r>
    </w:p>
    <w:p>
      <w:r>
        <w:t>- 6 -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RSPC 2014 p.5 ; TF 5A_925/2015 consid. 2.3.3.2 non publié à l’ATF 142 III 195 ; TF 5A_596/2018 du 26 novembre 2018 consid. 5.3; Colombini, op. cit., n. 15.3.2 ad art. 53 CPC). b) En l’espèce, le jugement attaqué se limite à mentionner la date, l’auteur et l’objet de la requête, « les pièces produites » et le nom des comparants à l’audience, et d’énumérer les dispositions légales appliquées. Il ne ressort pas du dossier, en particulier du procès-verbal de l’audience, que le président du tribunal aurait fait le choix de communiquer son jugement sans motivation écrite et en aurait informé la requérante (art. 239 al. 1 CPC). Le jugement qu’il a rendu ne contient toutefois absolument aucun état de fait – de sorte que celui du présent arrêt a dû être établi « ex nihilo » sur la base des pièces – et pas la moindre motivation en droit. La violation du droit d’être entendu étant crasse, on ne saurait considérer qu’un tel vice n’est pas particulièrement grave. Au demeurant, le pouvoir d’examen de l’autorité de recours est limité en fait. Il n’est dès lors pas possible de traiter le recours et la cour de céans ne peut qu'annuler d’office le jugement attaqué et renvoyer la cause au premier juge pour qu’il motive en fait et en droit la décision qu’il a rendue et la notifie à la recourante. Ce renvoi ne constitue pas une vaine formalité, dès lors que la recourante pourra déterminer la suite à donner à la nouvelle décision motivée en toute connaissance de cause. III. Vu ce qui précède, le jugement doit être annulé d’office et la cause renvoyée au premier juge pour nouvelle décision dans le sens des considérants. Les frais judiciaires de deuxième instance, arrêtés à 300 fr., sont laissés à la charge de l’Etat (art. 107 al. 2 CPC).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