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FY22.024953 vom 7. Februar 2024</w:t>
      </w:r>
    </w:p>
    <w:p>
      <w:r>
        <w:t>VD Tribunal cantonal, 2024-02-07, FR</w:t>
      </w:r>
    </w:p>
    <w:p>
      <w:r>
        <w:rPr>
          <w:b/>
        </w:rPr>
        <w:t xml:space="preserve">Quelle: </w:t>
      </w:r>
      <w:r>
        <w:t>https://mcp.opencaselaw.ch/entscheid/vd_gerichte_FY22.024953</w:t>
      </w:r>
    </w:p>
    <w:p>
      <w:r>
        <w:t>FR: VD_GERICHTE FY22.024953 du 7 février 2024</w:t>
      </w:r>
    </w:p>
    <w:p>
      <w:r>
        <w:t>IT: VD_GERICHTE FY22.024953 del 7 febbraio 2024</w:t>
      </w:r>
    </w:p>
    <w:p>
      <w:pPr>
        <w:pStyle w:val="Heading2"/>
      </w:pPr>
      <w:r>
        <w:t>Erwägungen</w:t>
      </w:r>
    </w:p>
    <w:p>
      <w:r>
        <w:rPr>
          <w:b/>
        </w:rPr>
        <w:t>E. 20</w:t>
      </w:r>
    </w:p>
    <w:p>
      <w:r>
        <w:t>août 2013 consid. 3.3, RSPC 2014 p.5 ; TF 5A_596/2018 du 26 novembre 2018 consid. 5.3 et réf. cit.). bb) Le fait que la créancière n’ait pas été invitée par le premier juge à se déterminer sur la requête de faillite personnelle de l’intimé ne prête pas le flanc à la critique, dès lors que, comme on l’a vu (consid. II a) supra), il n’y a pas lieu d’élargir le cercle des parties à la procédure de faillite volontaire en première instance. C’est à raison, en revanche, que la recourante fait grief au premier juge de n’avoir aucunement pris position sur les arguments qu’elle avait présentés et les pièces qu’elle avait produites dans la première procédure de recours qui a abouti au renvoi de la cause à ce magistrat pour nouvelle décision, et qui se trouvaient donc au dossier. Eu égard cependant aux pièces produites en recours de façon recevable et à la teneur de l’art. 174 al. 1 LP, il faut admettre que le pouvoir d’examen de la cour de céans en fait est étendu d’autant et qu’elle est en mesure de pallier le vice dans le cadre du</w:t>
      </w:r>
    </w:p>
    <w:p>
      <w:r>
        <w:t>- 13 - recours, un – nouveau – renvoi de la cause pour violation du droit d’être entendu au premier juge ne constituant qu’un allongement inutile de la procédure. b) aa) Aux termes de l’art. 191 LP - dont les conditions d’application ont été rendues plus strictes lors de la révision de la LP entrée en vigueur le 1er janvier 1997 (cf. ATF 133 III 614 consid. 6.1.2) -, le débiteur peut lui-même requérir sa faillite en se déclarant insolvable en justice.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w:t>
      </w:r>
    </w:p>
    <w:p>
      <w:r>
        <w:t>- 14 - le cadre de l’assistance judiciaire (chances de succès), mais le Tribunal fédéral a confirmé ultérieurement que son raisonnement s’appliquait aussi à la requête de faillite volontaire elle-même (TF 5A_433/2019 du 26 septembre 2019 précité ;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Staehelin, in Bauer/Staehelin [édit.], Basler Kommentar SchKG, Ergänzungsband, 2017, ad n. 16 ad art. 191 SchKG [LP]). bb) La décision attaquée est essentiellement fondée sur les allégations et déclarations de l’intimé relatives à sa situation financière, lesquelles apparaissent insuffisamment documentées pour rendre vraisemblable son insolvabilité. Le premier juge a ainsi retenu un « état de surendettement évident ». Or, outre que c’est l’insolvabilité du débiteur qui doit être rendue vraisemblable, laquelle n’équivaut pas au surendettement, on ne voit pas qu’un tel endettement ressorte de manière évidente des pièces produites en première instance par l’intimé. Il résulte de ces pièces qu’au moment de sa requête de faillite personnelle, en 2022, l’intimé percevait des rentes AI et LPP de l’ordre de 16'000 fr., qu’il faisait l’objet de deux poursuites, exercées par la recourante, dont l’une, fondée sur une sentence arbitrale et portant sur un montant de 3'307’838 fr. 50, était au stade de la vente aux enchères et qu’il était encore administrateur de la société [...] SA. Quant à la liste de ses</w:t>
      </w:r>
    </w:p>
    <w:p>
      <w:r>
        <w:t>- 15 - créanciers, elle n’est guère probante dans la mesure où elle est fondée sur une facture, un décompte, une décision provisoire, une estimation ou encore une assignation en justice datant de 2017. On relève en particulier sur ce dernier point que la recourante a bien pris des conclusions à hauteur de 6'700'000 euros contre l’intimé devant le TGI de Paris, mais que le jugement rendu par cette instance le 8 décembre 2022 a condamné l’intimé à payer à la recourante la somme de 1'697'164,76 euros. En ce qui concerne le manque de liquidités, il n’est pas rendu vraisemblable non plus. Les rentes de l’intimé ne sont pas saisies dans une mesure portant atteinte à son minimum vital, dont le calcul effectué en 2022 tenait compte d’un loyer de 1'500 francs ; or, lors de son audition par le Ministère public de l’arrondissement de Lausanne le 16 février 2023, l’intimé a déclaré ne rien payer pour son loyer (en Suisse), mais payer une partie des charges de la maison en Bretagne appartenant à son épouse, soit entre 500 et 1'000 euros par mois, et posséder en outre une voiture en leasing qu’il paie un peu plus de 300 fr. par mois. Ces charge ne sont pas incluses dans le calcul du minimum vital. Il faut donc bien que l’intimé dispose de liquidités pour les payer. En 2021, celui-ci a d’ailleurs expliqué à la brigade financière qu’il devait « ouvrir des comptes bancaires à gauche et à droite pour pouvoir continuer à vivre en raison du blocage continuel de ses comptes ». Or, il faut là aussi des liquidités pour alimenter les comptes en question. Il apparaît d’ailleurs que l’intimé doit vraisemblablement tirer des revenus de la vente de ses livres (cf. profil LinkedIn, P. 122) et de son activité d’enseignement (cf. avis SIRENE, P. 123). Les pièces produites par la recourante établissent en outre que X.________, par son comportement en procédure, tend à échapper à ses obligations financières et à porter atteinte aux intérêts de son créancier principal en dissimulant des éléments de son patrimoine aux autorités de poursuite, ce qui lui a d’ailleurs valu une condamnation pénale, ou en vidant de sa substance un séquestre pénal ordonné à la requête de la recourante en liquidant les actifs d’une filiale français débitrice de la société [...] SA.</w:t>
      </w:r>
    </w:p>
    <w:p>
      <w:r>
        <w:t>- 16 - Au surplus, sous l’angle de l’abus de droit, il apparaît que la requête de faillite personnelle tend en réalité à éviter la saisie de sa rente LPP - et d’éventuels autres revenus - au détriment de la seule créancière et recourante, ce que la jurisprudence prohibe précisément lorsque le dividende prévisible est nul ou même seulement insuffisant ; c’est le cas en l’espèce, dès lors que le seul actif certain à ce jour est le bateau, estimé à 10'000 fr. seulement, le sort d’une action en révocation des donations faites à ses proches par l’intimé étant à ce stade encore incertain. Il s’ensuit que la requête de faillite personnelle de l’intimé est abusive aussi bien dans son dessein que par le fait que l’intimé ne dispose pas d’actif réalisable au profit de la recourante. Elle doit donc être rejetée. III. En conclusion, le recours doit être admis et le jugement attaqué réformé en ce sens que la faillite de l’intimé n’est pas prononcée et, par voie de conséquence, la liquidation sommaire pas ordonnée. Le jugement est confirmé en ce qui concerne le refus de l’assistance judiciaire au requérant et la mise à la charge de ce dernier, partie unique, des frais judiciaires de première instance. La nouvelle requête d’assistance judiciaire déposée le 16 juillet 2023 doit être rejetée, faute pour l’intimé d’avoir produit des documents propres à établir ses revenus. Les frais judiciaires de deuxième instance, arrêtés à 300 fr., sont mis à la charge de l’intimé, qui succombe (art. 106 al. 1 CPC). La recourante a droit à des dépens de deuxième instance arrêtés à 2'000 fr. (art. 3 al. 3 TDC [tarif des dépens en matière civile ; BLV 270.11.6]).</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