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FU17.039853 vom 14. Dezember 2017</w:t>
      </w:r>
    </w:p>
    <w:p>
      <w:r>
        <w:t>VD Tribunal cantonal, 2017-12-14, FR</w:t>
      </w:r>
    </w:p>
    <w:p>
      <w:r>
        <w:rPr>
          <w:b/>
        </w:rPr>
        <w:t xml:space="preserve">Quelle: </w:t>
      </w:r>
      <w:r>
        <w:t>https://mcp.opencaselaw.ch/entscheid/vd_gerichte_FU17.039853</w:t>
      </w:r>
    </w:p>
    <w:p>
      <w:r>
        <w:t>FR: VD_GERICHTE FU17.039853 du 14 décembre 2017</w:t>
      </w:r>
    </w:p>
    <w:p>
      <w:r>
        <w:t>IT: VD_GERICHTE FU17.039853 del 14 dicembre 2017</w:t>
      </w:r>
    </w:p>
    <w:p>
      <w:pPr>
        <w:pStyle w:val="Heading2"/>
      </w:pPr>
      <w:r>
        <w:t>Erwägungen</w:t>
      </w:r>
    </w:p>
    <w:p>
      <w:r>
        <w:rPr>
          <w:b/>
        </w:rPr>
        <w:t>E. 1</w:t>
      </w:r>
    </w:p>
    <w:p>
      <w:r>
        <w:t>CPC) et que, par ailleurs, la requête d’effet suspensif contenu dans cette demande a été rejetée par décision du 6 novembre 2017. III. En conclusion, le recours, manifestement mal fondé, doit être rejeté dans la mesure où il est recevable et la décision confirmée. Vu le rejet du recours, les frais judiciaires de deuxième instance, arrêtés à 300 fr. doivent être mis à la charge de la recourante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